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 xml:space="preserve">附件1： </w:t>
      </w:r>
    </w:p>
    <w:p>
      <w:pPr>
        <w:ind w:right="84"/>
        <w:jc w:val="right"/>
        <w:rPr>
          <w:rFonts w:hint="eastAsia" w:ascii="宋体" w:hAnsi="宋体"/>
          <w:b/>
          <w:sz w:val="18"/>
          <w:szCs w:val="18"/>
        </w:rPr>
      </w:pPr>
      <w:r>
        <w:rPr>
          <w:rFonts w:hint="eastAsia" w:ascii="宋体" w:hAnsi="宋体"/>
          <w:b/>
          <w:sz w:val="18"/>
          <w:szCs w:val="18"/>
        </w:rPr>
        <w:t>记录标识：</w:t>
      </w:r>
      <w:r>
        <w:rPr>
          <w:rFonts w:ascii="宋体" w:hAnsi="宋体"/>
          <w:b/>
          <w:sz w:val="18"/>
          <w:szCs w:val="18"/>
        </w:rPr>
        <w:t>SCM-01-01-GC-01-C0</w:t>
      </w:r>
      <w:r>
        <w:rPr>
          <w:rFonts w:hint="eastAsia" w:ascii="宋体" w:hAnsi="宋体"/>
          <w:b/>
          <w:sz w:val="18"/>
          <w:szCs w:val="18"/>
        </w:rPr>
        <w:t>01</w:t>
      </w:r>
    </w:p>
    <w:p>
      <w:pPr>
        <w:pStyle w:val="7"/>
        <w:numPr>
          <w:ilvl w:val="0"/>
          <w:numId w:val="1"/>
        </w:numPr>
        <w:spacing w:line="257" w:lineRule="auto"/>
        <w:ind w:right="132" w:rightChars="55" w:firstLineChars="0"/>
        <w:rPr>
          <w:rFonts w:hint="eastAsia"/>
          <w:b/>
          <w:lang w:eastAsia="zh-CN"/>
        </w:rPr>
      </w:pPr>
      <w:r>
        <w:rPr>
          <w:b/>
          <w:lang w:eastAsia="zh-CN"/>
        </w:rPr>
        <w:t>物资类</w:t>
      </w:r>
      <w:r>
        <w:rPr>
          <w:rFonts w:hint="eastAsia"/>
          <w:b/>
          <w:lang w:eastAsia="zh-CN"/>
        </w:rPr>
        <w:t xml:space="preserve"> </w:t>
      </w:r>
    </w:p>
    <w:p>
      <w:pPr>
        <w:autoSpaceDE w:val="0"/>
        <w:autoSpaceDN w:val="0"/>
        <w:spacing w:before="120" w:after="120"/>
        <w:ind w:right="-20"/>
        <w:jc w:val="center"/>
        <w:rPr>
          <w:rFonts w:ascii="Arial Unicode MS" w:eastAsia="Arial Unicode MS" w:cs="Arial Unicode MS"/>
          <w:b/>
          <w:spacing w:val="2"/>
          <w:w w:val="99"/>
          <w:sz w:val="52"/>
          <w:szCs w:val="52"/>
        </w:rPr>
      </w:pPr>
      <w:r>
        <w:rPr>
          <w:rFonts w:ascii="Arial Unicode MS" w:eastAsia="Arial Unicode MS" w:cs="Arial Unicode MS"/>
          <w:b/>
          <w:spacing w:val="2"/>
          <w:w w:val="99"/>
          <w:sz w:val="52"/>
          <w:szCs w:val="52"/>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3810" b="9525"/>
            <wp:wrapTight wrapText="bothSides">
              <wp:wrapPolygon>
                <wp:start x="7475" y="0"/>
                <wp:lineTo x="2320" y="4577"/>
                <wp:lineTo x="1031" y="6294"/>
                <wp:lineTo x="0" y="8297"/>
                <wp:lineTo x="0" y="15163"/>
                <wp:lineTo x="1289" y="18310"/>
                <wp:lineTo x="1289" y="18596"/>
                <wp:lineTo x="5155" y="21457"/>
                <wp:lineTo x="5671" y="21457"/>
                <wp:lineTo x="11341" y="21457"/>
                <wp:lineTo x="12115" y="21457"/>
                <wp:lineTo x="15465" y="18882"/>
                <wp:lineTo x="17527" y="14305"/>
                <wp:lineTo x="17527" y="13732"/>
                <wp:lineTo x="21394" y="12016"/>
                <wp:lineTo x="21394" y="8869"/>
                <wp:lineTo x="14950" y="4577"/>
                <wp:lineTo x="9537" y="0"/>
                <wp:lineTo x="7475"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ascii="Arial Unicode MS" w:eastAsia="Arial Unicode MS" w:cs="Arial Unicode MS"/>
          <w:b/>
          <w:spacing w:val="2"/>
          <w:w w:val="99"/>
          <w:sz w:val="52"/>
          <w:szCs w:val="52"/>
        </w:rPr>
      </w:pPr>
    </w:p>
    <w:p>
      <w:pPr>
        <w:autoSpaceDE w:val="0"/>
        <w:autoSpaceDN w:val="0"/>
        <w:spacing w:before="120" w:after="120"/>
        <w:ind w:right="-20"/>
        <w:jc w:val="center"/>
        <w:rPr>
          <w:rFonts w:hint="eastAsia" w:ascii="微软雅黑" w:hAnsi="微软雅黑" w:eastAsia="微软雅黑" w:cs="Arial Unicode MS"/>
          <w:b/>
          <w:spacing w:val="2"/>
          <w:w w:val="99"/>
          <w:sz w:val="52"/>
          <w:szCs w:val="52"/>
        </w:rPr>
      </w:pPr>
    </w:p>
    <w:p>
      <w:pPr>
        <w:jc w:val="center"/>
        <w:rPr>
          <w:rFonts w:hint="eastAsia" w:ascii="微软雅黑" w:hAnsi="微软雅黑" w:eastAsia="微软雅黑" w:cs="Arial Unicode MS"/>
          <w:spacing w:val="2"/>
          <w:w w:val="99"/>
          <w:sz w:val="52"/>
          <w:szCs w:val="52"/>
        </w:rPr>
      </w:pPr>
      <w:r>
        <w:rPr>
          <w:rFonts w:hint="eastAsia" w:ascii="微软雅黑" w:hAnsi="微软雅黑" w:eastAsia="微软雅黑" w:cs="Arial Unicode MS"/>
          <w:spacing w:val="2"/>
          <w:w w:val="99"/>
          <w:sz w:val="52"/>
          <w:szCs w:val="52"/>
        </w:rPr>
        <w:t>中海油能源发展股份有限公司</w:t>
      </w:r>
    </w:p>
    <w:p>
      <w:pPr>
        <w:jc w:val="center"/>
        <w:rPr>
          <w:rFonts w:hint="eastAsia" w:ascii="微软雅黑" w:hAnsi="微软雅黑" w:eastAsia="微软雅黑" w:cs="Arial Unicode MS"/>
          <w:b/>
          <w:spacing w:val="2"/>
          <w:w w:val="99"/>
          <w:sz w:val="52"/>
          <w:szCs w:val="52"/>
        </w:rPr>
      </w:pPr>
    </w:p>
    <w:p>
      <w:pPr>
        <w:jc w:val="center"/>
        <w:rPr>
          <w:rFonts w:hint="default" w:ascii="微软雅黑" w:hAnsi="微软雅黑" w:eastAsia="微软雅黑" w:cs="Arial Unicode MS"/>
          <w:spacing w:val="2"/>
          <w:w w:val="99"/>
          <w:sz w:val="52"/>
          <w:szCs w:val="52"/>
          <w:u w:val="single"/>
          <w:lang w:val="en-US" w:eastAsia="zh-CN"/>
        </w:rPr>
      </w:pPr>
      <w:r>
        <w:rPr>
          <w:rFonts w:hint="eastAsia" w:ascii="微软雅黑" w:hAnsi="微软雅黑" w:eastAsia="微软雅黑" w:cs="Arial Unicode MS"/>
          <w:spacing w:val="2"/>
          <w:w w:val="99"/>
          <w:sz w:val="52"/>
          <w:szCs w:val="52"/>
          <w:u w:val="single"/>
        </w:rPr>
        <w:t>工技公司科研项目HPU&amp;TUTA-质量流量计</w:t>
      </w:r>
    </w:p>
    <w:p>
      <w:pPr>
        <w:jc w:val="center"/>
        <w:rPr>
          <w:rFonts w:hint="eastAsia" w:ascii="微软雅黑" w:hAnsi="微软雅黑" w:eastAsia="微软雅黑" w:cs="Arial Unicode MS"/>
          <w:b/>
          <w:spacing w:val="2"/>
          <w:w w:val="99"/>
          <w:sz w:val="52"/>
          <w:szCs w:val="52"/>
        </w:rPr>
      </w:pPr>
      <w:r>
        <w:rPr>
          <w:rFonts w:hint="eastAsia" w:ascii="微软雅黑" w:hAnsi="微软雅黑" w:eastAsia="微软雅黑" w:cs="Arial Unicode MS"/>
          <w:b/>
          <w:spacing w:val="2"/>
          <w:w w:val="99"/>
          <w:sz w:val="52"/>
          <w:szCs w:val="52"/>
        </w:rPr>
        <w:t>采购技术要求书</w:t>
      </w:r>
    </w:p>
    <w:p>
      <w:pPr>
        <w:jc w:val="center"/>
        <w:rPr>
          <w:rFonts w:hint="eastAsia" w:ascii="微软雅黑" w:hAnsi="微软雅黑" w:eastAsia="微软雅黑" w:cs="Arial Unicode MS"/>
          <w:b/>
          <w:spacing w:val="2"/>
          <w:w w:val="99"/>
          <w:sz w:val="52"/>
          <w:szCs w:val="52"/>
        </w:rPr>
      </w:pPr>
    </w:p>
    <w:p>
      <w:pPr>
        <w:autoSpaceDE w:val="0"/>
        <w:autoSpaceDN w:val="0"/>
        <w:spacing w:before="120" w:after="120" w:line="720" w:lineRule="auto"/>
        <w:ind w:right="-20"/>
        <w:rPr>
          <w:rFonts w:ascii="Arial Unicode MS" w:eastAsia="Arial Unicode MS" w:cs="Arial Unicode MS"/>
          <w:spacing w:val="2"/>
          <w:w w:val="99"/>
          <w:sz w:val="36"/>
          <w:szCs w:val="36"/>
        </w:rPr>
      </w:pPr>
      <w:r>
        <w:rPr>
          <w:rFonts w:hint="eastAsia" w:ascii="Arial Unicode MS" w:eastAsia="Arial Unicode MS" w:cs="Arial Unicode MS"/>
          <w:spacing w:val="2"/>
          <w:w w:val="99"/>
          <w:sz w:val="36"/>
          <w:szCs w:val="36"/>
        </w:rPr>
        <w:t xml:space="preserve">           编制：</w:t>
      </w:r>
      <w:r>
        <w:rPr>
          <w:rFonts w:hint="eastAsia" w:ascii="Arial Unicode MS" w:eastAsia="Arial Unicode MS" w:cs="Arial Unicode MS"/>
          <w:spacing w:val="2"/>
          <w:w w:val="99"/>
          <w:sz w:val="36"/>
          <w:szCs w:val="36"/>
          <w:u w:val="single"/>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rPr>
      </w:pPr>
      <w:r>
        <w:rPr>
          <w:rFonts w:hint="eastAsia" w:ascii="Arial Unicode MS" w:eastAsia="Arial Unicode MS" w:cs="Arial Unicode MS"/>
          <w:spacing w:val="2"/>
          <w:w w:val="99"/>
          <w:sz w:val="36"/>
          <w:szCs w:val="36"/>
        </w:rPr>
        <w:t xml:space="preserve">           审核：</w:t>
      </w:r>
      <w:r>
        <w:rPr>
          <w:rFonts w:hint="eastAsia" w:ascii="Arial Unicode MS" w:eastAsia="Arial Unicode MS" w:cs="Arial Unicode MS"/>
          <w:spacing w:val="2"/>
          <w:w w:val="99"/>
          <w:sz w:val="36"/>
          <w:szCs w:val="36"/>
          <w:u w:val="single"/>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rPr>
      </w:pPr>
      <w:r>
        <w:rPr>
          <w:rFonts w:hint="eastAsia" w:ascii="Arial Unicode MS" w:eastAsia="Arial Unicode MS" w:cs="Arial Unicode MS"/>
          <w:spacing w:val="2"/>
          <w:w w:val="99"/>
          <w:sz w:val="36"/>
          <w:szCs w:val="36"/>
        </w:rPr>
        <w:t xml:space="preserve">           批准：</w:t>
      </w:r>
      <w:r>
        <w:rPr>
          <w:rFonts w:hint="eastAsia" w:ascii="Arial Unicode MS" w:eastAsia="Arial Unicode MS" w:cs="Arial Unicode MS"/>
          <w:spacing w:val="2"/>
          <w:w w:val="99"/>
          <w:sz w:val="36"/>
          <w:szCs w:val="36"/>
          <w:u w:val="single"/>
        </w:rPr>
        <w:t xml:space="preserve">                </w:t>
      </w:r>
      <w:r>
        <w:rPr>
          <w:rFonts w:hint="eastAsia" w:ascii="Arial Unicode MS" w:eastAsia="Arial Unicode MS" w:cs="Arial Unicode MS"/>
          <w:spacing w:val="2"/>
          <w:w w:val="99"/>
          <w:sz w:val="36"/>
          <w:szCs w:val="36"/>
        </w:rPr>
        <w:t xml:space="preserve"> </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一、项目概况及总体要求</w:t>
      </w:r>
    </w:p>
    <w:p>
      <w:pPr>
        <w:pStyle w:val="29"/>
        <w:widowControl/>
        <w:spacing w:line="360" w:lineRule="auto"/>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本技术要求描述了中海油能源发展股份有限公司工程技术分公司科研项目HPU&amp;TUTA关键液压器件采购的技术要求。</w:t>
      </w:r>
    </w:p>
    <w:p>
      <w:pPr>
        <w:pStyle w:val="29"/>
        <w:widowControl/>
        <w:spacing w:line="360" w:lineRule="auto"/>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标准应用情况概述，引用ASME B16.34-2013阀门设计标准ASME B1.20.1-2013（有补充引用），补充/修改主要内容是，基于接口尺寸、压力等级、应用介质等具体要求，理由:根据项目设计需要，普通螺纹引用ASME B1.20.1-2013标准（有补充引用），补充/修改主要内容是，部分高压大通径器件采用MP自制螺纹接口，理由:高压大通径更安全稳定；引用棒材标准作为器件棒材的材质要求：ASTM A479（无补充引用）。</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二、需求一览表</w:t>
      </w:r>
    </w:p>
    <w:tbl>
      <w:tblPr>
        <w:tblStyle w:val="13"/>
        <w:tblW w:w="5772" w:type="pct"/>
        <w:tblInd w:w="-5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1128"/>
        <w:gridCol w:w="3672"/>
        <w:gridCol w:w="1150"/>
        <w:gridCol w:w="450"/>
        <w:gridCol w:w="587"/>
        <w:gridCol w:w="2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88"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序号</w:t>
            </w:r>
          </w:p>
        </w:tc>
        <w:tc>
          <w:tcPr>
            <w:tcW w:w="112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物料号</w:t>
            </w:r>
          </w:p>
        </w:tc>
        <w:tc>
          <w:tcPr>
            <w:tcW w:w="3672"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规格型号</w:t>
            </w:r>
          </w:p>
        </w:tc>
        <w:tc>
          <w:tcPr>
            <w:tcW w:w="11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描述</w:t>
            </w:r>
          </w:p>
        </w:tc>
        <w:tc>
          <w:tcPr>
            <w:tcW w:w="4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58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206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88"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22"/>
                <w:szCs w:val="22"/>
                <w:u w:val="none"/>
                <w:lang w:val="en-US"/>
              </w:rPr>
            </w:pPr>
            <w:r>
              <w:rPr>
                <w:rFonts w:hint="eastAsia" w:cs="Times New Roman"/>
                <w:i w:val="0"/>
                <w:iCs w:val="0"/>
                <w:color w:val="000000"/>
                <w:kern w:val="0"/>
                <w:sz w:val="22"/>
                <w:szCs w:val="22"/>
                <w:u w:val="none"/>
                <w:lang w:val="en-US" w:eastAsia="zh-CN" w:bidi="ar"/>
              </w:rPr>
              <w:t>1</w:t>
            </w:r>
          </w:p>
        </w:tc>
        <w:tc>
          <w:tcPr>
            <w:tcW w:w="112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A400815</w:t>
            </w:r>
          </w:p>
        </w:tc>
        <w:tc>
          <w:tcPr>
            <w:tcW w:w="36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流量计</w:t>
            </w:r>
            <w:r>
              <w:rPr>
                <w:rFonts w:hint="default" w:ascii="Times New Roman" w:hAnsi="Times New Roman" w:eastAsia="宋体" w:cs="Times New Roman"/>
                <w:i w:val="0"/>
                <w:iCs w:val="0"/>
                <w:color w:val="000000"/>
                <w:kern w:val="0"/>
                <w:sz w:val="22"/>
                <w:szCs w:val="22"/>
                <w:u w:val="none"/>
                <w:lang w:val="en-US" w:eastAsia="zh-CN" w:bidi="ar"/>
              </w:rPr>
              <w:t>\0-1</w:t>
            </w:r>
            <w:r>
              <w:rPr>
                <w:rFonts w:hint="eastAsia"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L/MIN\0.5\4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20mA\DC24V\LCD\1/2"NPTF\</w:t>
            </w:r>
            <w:r>
              <w:rPr>
                <w:rFonts w:hint="eastAsia" w:ascii="宋体" w:hAnsi="宋体" w:eastAsia="宋体" w:cs="宋体"/>
                <w:i w:val="0"/>
                <w:iCs w:val="0"/>
                <w:color w:val="000000"/>
                <w:kern w:val="0"/>
                <w:sz w:val="22"/>
                <w:szCs w:val="22"/>
                <w:u w:val="none"/>
                <w:lang w:val="en-US" w:eastAsia="zh-CN" w:bidi="ar"/>
              </w:rPr>
              <w:t>水基液压油</w:t>
            </w:r>
            <w:r>
              <w:rPr>
                <w:rFonts w:hint="default" w:ascii="Times New Roman" w:hAnsi="Times New Roman" w:eastAsia="宋体" w:cs="Times New Roman"/>
                <w:i w:val="0"/>
                <w:iCs w:val="0"/>
                <w:color w:val="000000"/>
                <w:kern w:val="0"/>
                <w:sz w:val="22"/>
                <w:szCs w:val="22"/>
                <w:u w:val="none"/>
                <w:lang w:val="en-US" w:eastAsia="zh-CN" w:bidi="ar"/>
              </w:rPr>
              <w:t>\316\ExdⅡBT4 IP56\6000psi</w:t>
            </w:r>
          </w:p>
        </w:tc>
        <w:tc>
          <w:tcPr>
            <w:tcW w:w="11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低压流量计</w:t>
            </w:r>
          </w:p>
        </w:tc>
        <w:tc>
          <w:tcPr>
            <w:tcW w:w="4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06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合格证、防爆证书、防护证书</w:t>
            </w:r>
            <w:r>
              <w:rPr>
                <w:rFonts w:hint="eastAsia" w:ascii="宋体" w:hAnsi="宋体" w:cs="宋体"/>
                <w:i w:val="0"/>
                <w:iCs w:val="0"/>
                <w:color w:val="000000"/>
                <w:kern w:val="0"/>
                <w:sz w:val="22"/>
                <w:szCs w:val="22"/>
                <w:u w:val="none"/>
                <w:lang w:val="en-US" w:eastAsia="zh-CN" w:bidi="ar"/>
              </w:rPr>
              <w:t>、船检证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88"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22"/>
                <w:szCs w:val="22"/>
                <w:u w:val="none"/>
              </w:rPr>
            </w:pPr>
            <w:r>
              <w:rPr>
                <w:rFonts w:hint="eastAsia" w:cs="Times New Roman"/>
                <w:i w:val="0"/>
                <w:iCs w:val="0"/>
                <w:color w:val="000000"/>
                <w:kern w:val="0"/>
                <w:sz w:val="22"/>
                <w:szCs w:val="22"/>
                <w:u w:val="none"/>
                <w:lang w:val="en-US" w:eastAsia="zh-CN" w:bidi="ar"/>
              </w:rPr>
              <w:t>2</w:t>
            </w:r>
          </w:p>
        </w:tc>
        <w:tc>
          <w:tcPr>
            <w:tcW w:w="112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A400815</w:t>
            </w:r>
          </w:p>
        </w:tc>
        <w:tc>
          <w:tcPr>
            <w:tcW w:w="367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流量计</w:t>
            </w:r>
            <w:r>
              <w:rPr>
                <w:rFonts w:hint="default" w:ascii="Times New Roman" w:hAnsi="Times New Roman" w:eastAsia="宋体" w:cs="Times New Roman"/>
                <w:i w:val="0"/>
                <w:iCs w:val="0"/>
                <w:color w:val="000000"/>
                <w:kern w:val="0"/>
                <w:sz w:val="22"/>
                <w:szCs w:val="22"/>
                <w:u w:val="none"/>
                <w:lang w:val="en-US" w:eastAsia="zh-CN" w:bidi="ar"/>
              </w:rPr>
              <w:t>\0-10L/MIN\0.5\4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20mA\DC24V\LCD\1/2"NPTF\</w:t>
            </w:r>
            <w:r>
              <w:rPr>
                <w:rFonts w:hint="eastAsia" w:ascii="宋体" w:hAnsi="宋体" w:eastAsia="宋体" w:cs="宋体"/>
                <w:i w:val="0"/>
                <w:iCs w:val="0"/>
                <w:color w:val="000000"/>
                <w:kern w:val="0"/>
                <w:sz w:val="22"/>
                <w:szCs w:val="22"/>
                <w:u w:val="none"/>
                <w:lang w:val="en-US" w:eastAsia="zh-CN" w:bidi="ar"/>
              </w:rPr>
              <w:t>水基液压油</w:t>
            </w:r>
            <w:r>
              <w:rPr>
                <w:rFonts w:hint="default" w:ascii="Times New Roman" w:hAnsi="Times New Roman" w:eastAsia="宋体" w:cs="Times New Roman"/>
                <w:i w:val="0"/>
                <w:iCs w:val="0"/>
                <w:color w:val="000000"/>
                <w:kern w:val="0"/>
                <w:sz w:val="22"/>
                <w:szCs w:val="22"/>
                <w:u w:val="none"/>
                <w:lang w:val="en-US" w:eastAsia="zh-CN" w:bidi="ar"/>
              </w:rPr>
              <w:t>\316\ExdⅡBT4 IP56\10000psi</w:t>
            </w:r>
          </w:p>
        </w:tc>
        <w:tc>
          <w:tcPr>
            <w:tcW w:w="11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高压流量计</w:t>
            </w:r>
          </w:p>
        </w:tc>
        <w:tc>
          <w:tcPr>
            <w:tcW w:w="4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58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206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合格证、防爆证书、防护证书</w:t>
            </w:r>
            <w:r>
              <w:rPr>
                <w:rFonts w:hint="eastAsia" w:ascii="宋体" w:hAnsi="宋体" w:cs="宋体"/>
                <w:i w:val="0"/>
                <w:iCs w:val="0"/>
                <w:color w:val="000000"/>
                <w:kern w:val="0"/>
                <w:sz w:val="22"/>
                <w:szCs w:val="22"/>
                <w:u w:val="none"/>
                <w:lang w:val="en-US" w:eastAsia="zh-CN" w:bidi="ar"/>
              </w:rPr>
              <w:t>、船检证</w:t>
            </w:r>
          </w:p>
        </w:tc>
      </w:tr>
    </w:tbl>
    <w:p>
      <w:pPr>
        <w:pStyle w:val="21"/>
        <w:numPr>
          <w:ilvl w:val="0"/>
          <w:numId w:val="2"/>
        </w:numPr>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执行标准/规范</w:t>
      </w:r>
      <w:r>
        <w:rPr>
          <w:rFonts w:hint="eastAsia" w:ascii="微软雅黑" w:hAnsi="微软雅黑" w:eastAsia="微软雅黑" w:cs="微软雅黑"/>
          <w:bCs/>
          <w:color w:val="auto"/>
          <w:sz w:val="32"/>
          <w:szCs w:val="32"/>
        </w:rPr>
        <w:tab/>
      </w:r>
    </w:p>
    <w:p>
      <w:pPr>
        <w:pStyle w:val="29"/>
        <w:widowControl/>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ASME B16.34-2013 Valves—Flanged, Threaded,and Welding End</w:t>
      </w:r>
    </w:p>
    <w:p>
      <w:pPr>
        <w:pStyle w:val="29"/>
        <w:widowControl/>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ASME B1.20.1-2013 Pipe Threads,General Purpose (Inch)</w:t>
      </w:r>
    </w:p>
    <w:p>
      <w:pPr>
        <w:pStyle w:val="29"/>
        <w:widowControl/>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ASTM A479/A479M-24 Standard Specification for Stainless Steel Bars and Shapes for Use in Boilers and Other Pressure Vessels</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四、设计/使用条件</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4.1 </w:t>
      </w:r>
      <w:r>
        <w:rPr>
          <w:rFonts w:hint="eastAsia" w:hAnsi="宋体"/>
          <w:color w:val="auto"/>
          <w:kern w:val="2"/>
        </w:rPr>
        <w:t>使用环境：温度：-25℃～50℃；</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4.2 </w:t>
      </w:r>
      <w:r>
        <w:rPr>
          <w:rFonts w:hint="eastAsia" w:hAnsi="宋体"/>
          <w:color w:val="auto"/>
          <w:kern w:val="2"/>
        </w:rPr>
        <w:t>湿度：60～100% RH；</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4.3 </w:t>
      </w:r>
      <w:r>
        <w:rPr>
          <w:rFonts w:hint="eastAsia" w:hAnsi="宋体"/>
          <w:color w:val="auto"/>
          <w:kern w:val="2"/>
        </w:rPr>
        <w:t>危险区域：Class I, Zone 1, Group IIA, Temperature Class T4；（置于隔爆防爆箱内）</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4.4 </w:t>
      </w:r>
      <w:r>
        <w:rPr>
          <w:rFonts w:hint="eastAsia" w:hAnsi="宋体"/>
          <w:color w:val="auto"/>
          <w:kern w:val="2"/>
        </w:rPr>
        <w:t>其它环境特性：潮湿、含盐的腐蚀性环境</w:t>
      </w:r>
    </w:p>
    <w:p>
      <w:pPr>
        <w:pStyle w:val="21"/>
        <w:spacing w:before="120" w:after="120" w:line="360" w:lineRule="auto"/>
        <w:outlineLvl w:val="0"/>
        <w:rPr>
          <w:rFonts w:hint="eastAsia" w:hAnsi="宋体"/>
          <w:color w:val="auto"/>
          <w:kern w:val="2"/>
        </w:rPr>
      </w:pPr>
      <w:r>
        <w:rPr>
          <w:rFonts w:hint="eastAsia" w:hAnsi="宋体"/>
          <w:color w:val="auto"/>
          <w:kern w:val="2"/>
          <w:lang w:val="en-US" w:eastAsia="zh-CN"/>
        </w:rPr>
        <w:t xml:space="preserve">4.5 </w:t>
      </w:r>
      <w:r>
        <w:rPr>
          <w:rFonts w:hint="eastAsia" w:hAnsi="宋体"/>
          <w:color w:val="auto"/>
          <w:kern w:val="2"/>
        </w:rPr>
        <w:t>有凝露、油雾、盐雾和霉菌的影响；</w:t>
      </w:r>
    </w:p>
    <w:p>
      <w:pPr>
        <w:pStyle w:val="21"/>
        <w:spacing w:before="120" w:after="120" w:line="360" w:lineRule="auto"/>
        <w:outlineLvl w:val="0"/>
        <w:rPr>
          <w:rFonts w:hint="eastAsia" w:hAnsi="宋体" w:eastAsia="宋体"/>
          <w:color w:val="auto"/>
          <w:kern w:val="2"/>
          <w:lang w:eastAsia="zh-CN"/>
        </w:rPr>
      </w:pPr>
      <w:r>
        <w:rPr>
          <w:rFonts w:hint="eastAsia" w:hAnsi="宋体"/>
          <w:color w:val="auto"/>
          <w:kern w:val="2"/>
          <w:lang w:val="en-US" w:eastAsia="zh-CN"/>
        </w:rPr>
        <w:t xml:space="preserve">4.6 </w:t>
      </w:r>
      <w:r>
        <w:rPr>
          <w:rFonts w:hint="eastAsia" w:hAnsi="宋体"/>
          <w:color w:val="auto"/>
          <w:kern w:val="2"/>
        </w:rPr>
        <w:t>有平台作业时所产生的振动和晃动</w:t>
      </w:r>
      <w:r>
        <w:rPr>
          <w:rFonts w:hint="eastAsia" w:hAnsi="宋体"/>
          <w:color w:val="auto"/>
          <w:kern w:val="2"/>
          <w:lang w:eastAsia="zh-CN"/>
        </w:rPr>
        <w:t>。</w:t>
      </w:r>
    </w:p>
    <w:p>
      <w:pPr>
        <w:pStyle w:val="21"/>
        <w:numPr>
          <w:ilvl w:val="0"/>
          <w:numId w:val="0"/>
        </w:numPr>
        <w:spacing w:before="120" w:after="120" w:line="360" w:lineRule="auto"/>
        <w:ind w:leftChars="0"/>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lang w:val="en-US" w:eastAsia="zh-CN"/>
        </w:rPr>
        <w:t>五、</w:t>
      </w:r>
      <w:r>
        <w:rPr>
          <w:rFonts w:hint="eastAsia" w:ascii="微软雅黑" w:hAnsi="微软雅黑" w:eastAsia="微软雅黑" w:cs="微软雅黑"/>
          <w:bCs/>
          <w:color w:val="auto"/>
          <w:sz w:val="32"/>
          <w:szCs w:val="32"/>
        </w:rPr>
        <w:t>技术要求</w:t>
      </w:r>
    </w:p>
    <w:p>
      <w:pPr>
        <w:pStyle w:val="31"/>
        <w:widowControl w:val="0"/>
        <w:numPr>
          <w:ilvl w:val="0"/>
          <w:numId w:val="3"/>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采购标准相关条款描述要求：</w:t>
      </w:r>
    </w:p>
    <w:p>
      <w:pPr>
        <w:pStyle w:val="31"/>
        <w:widowControl w:val="0"/>
        <w:numPr>
          <w:ilvl w:val="0"/>
          <w:numId w:val="0"/>
        </w:numPr>
        <w:spacing w:line="360" w:lineRule="auto"/>
        <w:ind w:leftChars="0"/>
        <w:rPr>
          <w:rFonts w:hint="default" w:ascii="宋体" w:hAnsi="宋体" w:eastAsia="宋体" w:cs="宋体"/>
          <w:b/>
          <w:color w:val="000000"/>
          <w:sz w:val="24"/>
          <w:szCs w:val="24"/>
          <w:lang w:val="en-US"/>
        </w:rPr>
      </w:pPr>
      <w:r>
        <w:rPr>
          <w:rFonts w:hint="eastAsia" w:ascii="宋体" w:hAnsi="宋体" w:cs="宋体"/>
          <w:b/>
          <w:color w:val="000000"/>
          <w:sz w:val="24"/>
          <w:szCs w:val="24"/>
        </w:rPr>
        <w:t>★</w:t>
      </w:r>
      <w:r>
        <w:rPr>
          <w:rFonts w:hint="eastAsia" w:ascii="宋体" w:hAnsi="宋体" w:cs="宋体"/>
          <w:b/>
          <w:color w:val="000000"/>
          <w:sz w:val="24"/>
          <w:szCs w:val="24"/>
          <w:lang w:val="en-US" w:eastAsia="zh-CN"/>
        </w:rPr>
        <w:t>5.1阀门设计标准：</w:t>
      </w:r>
    </w:p>
    <w:p>
      <w:pPr>
        <w:pStyle w:val="29"/>
        <w:widowControl/>
        <w:numPr>
          <w:ilvl w:val="0"/>
          <w:numId w:val="4"/>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阀门</w:t>
      </w:r>
      <w:r>
        <w:rPr>
          <w:rFonts w:hint="eastAsia" w:ascii="宋体" w:hAnsi="宋体" w:eastAsia="宋体" w:cs="宋体"/>
          <w:sz w:val="24"/>
          <w:szCs w:val="24"/>
        </w:rPr>
        <w:t>设计标准:ASME B16.34-2013</w:t>
      </w:r>
      <w:r>
        <w:rPr>
          <w:rFonts w:hint="eastAsia" w:ascii="宋体" w:hAnsi="宋体" w:eastAsia="宋体" w:cs="宋体"/>
          <w:sz w:val="24"/>
          <w:szCs w:val="24"/>
          <w:lang w:val="en-US" w:eastAsia="zh-CN"/>
        </w:rPr>
        <w:t>中6.1.2  内径</w:t>
      </w:r>
      <w:r>
        <w:rPr>
          <w:rFonts w:hint="eastAsia" w:ascii="宋体" w:hAnsi="宋体" w:eastAsia="宋体" w:cs="宋体"/>
          <w:sz w:val="24"/>
          <w:szCs w:val="24"/>
          <w:lang w:eastAsia="zh-CN"/>
        </w:rPr>
        <w:t>：</w:t>
      </w:r>
    </w:p>
    <w:p>
      <w:pPr>
        <w:pStyle w:val="29"/>
        <w:widowControl/>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阀体壁厚计算依据内径（d）应为流道的最小直径，且最小内径不得小于阀端基本内径的 90%。</w:t>
      </w:r>
    </w:p>
    <w:p>
      <w:pPr>
        <w:pStyle w:val="29"/>
        <w:widowControl/>
        <w:numPr>
          <w:ilvl w:val="0"/>
          <w:numId w:val="4"/>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阀门</w:t>
      </w:r>
      <w:r>
        <w:rPr>
          <w:rFonts w:hint="eastAsia" w:ascii="宋体" w:hAnsi="宋体" w:eastAsia="宋体" w:cs="宋体"/>
          <w:sz w:val="24"/>
          <w:szCs w:val="24"/>
        </w:rPr>
        <w:t>设计标准:ASME B16.34-2013</w:t>
      </w:r>
      <w:r>
        <w:rPr>
          <w:rFonts w:hint="eastAsia" w:ascii="宋体" w:hAnsi="宋体" w:eastAsia="宋体" w:cs="宋体"/>
          <w:sz w:val="24"/>
          <w:szCs w:val="24"/>
          <w:lang w:val="en-US" w:eastAsia="zh-CN"/>
        </w:rPr>
        <w:t>中4.2阀门的</w:t>
      </w:r>
      <w:r>
        <w:rPr>
          <w:rFonts w:hint="default" w:ascii="宋体" w:hAnsi="宋体" w:eastAsia="宋体" w:cs="宋体"/>
          <w:sz w:val="24"/>
          <w:szCs w:val="24"/>
          <w:lang w:val="en-US" w:eastAsia="zh-CN"/>
        </w:rPr>
        <w:t>标识标记</w:t>
      </w:r>
      <w:r>
        <w:rPr>
          <w:rFonts w:hint="eastAsia" w:ascii="宋体" w:hAnsi="宋体" w:eastAsia="宋体" w:cs="宋体"/>
          <w:sz w:val="24"/>
          <w:szCs w:val="24"/>
          <w:lang w:val="en-US" w:eastAsia="zh-CN"/>
        </w:rPr>
        <w:t>。</w:t>
      </w:r>
    </w:p>
    <w:p>
      <w:pPr>
        <w:pStyle w:val="29"/>
        <w:widowControl/>
        <w:numPr>
          <w:ilvl w:val="0"/>
          <w:numId w:val="0"/>
        </w:numPr>
        <w:spacing w:line="360" w:lineRule="auto"/>
        <w:rPr>
          <w:rFonts w:hint="eastAsia" w:ascii="宋体" w:hAnsi="宋体" w:eastAsia="宋体" w:cs="宋体"/>
          <w:b/>
          <w:color w:val="000000"/>
          <w:kern w:val="0"/>
          <w:sz w:val="24"/>
          <w:szCs w:val="24"/>
          <w:lang w:val="en-US" w:eastAsia="zh-CN" w:bidi="ar-SA"/>
        </w:rPr>
      </w:pPr>
      <w:r>
        <w:rPr>
          <w:rFonts w:hint="eastAsia" w:ascii="宋体" w:hAnsi="宋体" w:eastAsia="宋体" w:cs="宋体"/>
          <w:b/>
          <w:color w:val="000000"/>
          <w:kern w:val="0"/>
          <w:sz w:val="24"/>
          <w:szCs w:val="24"/>
          <w:lang w:val="en-US" w:eastAsia="zh-CN" w:bidi="ar-SA"/>
        </w:rPr>
        <w:t>5.2</w:t>
      </w:r>
      <w:r>
        <w:rPr>
          <w:rFonts w:hint="default" w:ascii="宋体" w:hAnsi="宋体" w:eastAsia="宋体" w:cs="宋体"/>
          <w:b/>
          <w:color w:val="000000"/>
          <w:kern w:val="0"/>
          <w:sz w:val="24"/>
          <w:szCs w:val="24"/>
          <w:lang w:val="en-US" w:eastAsia="zh-CN" w:bidi="ar-SA"/>
        </w:rPr>
        <w:t>名称</w:t>
      </w:r>
      <w:r>
        <w:rPr>
          <w:rFonts w:hint="eastAsia" w:ascii="宋体" w:hAnsi="宋体" w:eastAsia="宋体" w:cs="宋体"/>
          <w:b/>
          <w:color w:val="000000"/>
          <w:kern w:val="0"/>
          <w:sz w:val="24"/>
          <w:szCs w:val="24"/>
          <w:lang w:val="en-US" w:eastAsia="zh-CN" w:bidi="ar-SA"/>
        </w:rPr>
        <w:t>：</w:t>
      </w:r>
    </w:p>
    <w:p>
      <w:pPr>
        <w:pStyle w:val="29"/>
        <w:widowControl/>
        <w:numPr>
          <w:ilvl w:val="0"/>
          <w:numId w:val="0"/>
        </w:num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制造商的名称或商标应予以显示</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用于阀体、阀盖和盖板的材料应加以标识</w:t>
      </w:r>
      <w:r>
        <w:rPr>
          <w:rFonts w:hint="eastAsia" w:ascii="宋体" w:hAnsi="宋体" w:eastAsia="宋体" w:cs="宋体"/>
          <w:sz w:val="24"/>
          <w:szCs w:val="24"/>
          <w:lang w:val="en-US" w:eastAsia="zh-CN"/>
        </w:rPr>
        <w:t>。</w:t>
      </w:r>
    </w:p>
    <w:p>
      <w:pPr>
        <w:pStyle w:val="29"/>
        <w:widowControl/>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5.3</w:t>
      </w:r>
      <w:r>
        <w:rPr>
          <w:rFonts w:hint="default" w:ascii="宋体" w:hAnsi="宋体" w:eastAsia="宋体" w:cs="宋体"/>
          <w:b/>
          <w:bCs/>
          <w:sz w:val="24"/>
          <w:szCs w:val="24"/>
          <w:lang w:val="en-US" w:eastAsia="zh-CN"/>
        </w:rPr>
        <w:t>标记</w:t>
      </w:r>
      <w:r>
        <w:rPr>
          <w:rFonts w:hint="eastAsia" w:ascii="宋体" w:hAnsi="宋体" w:eastAsia="宋体" w:cs="宋体"/>
          <w:b/>
          <w:bCs/>
          <w:sz w:val="24"/>
          <w:szCs w:val="24"/>
          <w:lang w:val="en-US" w:eastAsia="zh-CN"/>
        </w:rPr>
        <w:t>：</w:t>
      </w:r>
    </w:p>
    <w:p>
      <w:pPr>
        <w:pStyle w:val="29"/>
        <w:widowControl/>
        <w:numPr>
          <w:ilvl w:val="0"/>
          <w:numId w:val="0"/>
        </w:num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阀体应标有与压力等级代号相对应的数字，但特殊等级、有限等级、中间等级（标准等级）和中间等级（特殊等级）的阀门可以改为标出阀门的最大允许温度及其相关压力。</w:t>
      </w:r>
    </w:p>
    <w:p>
      <w:pPr>
        <w:pStyle w:val="29"/>
        <w:widowControl/>
        <w:numPr>
          <w:ilvl w:val="0"/>
          <w:numId w:val="0"/>
        </w:numPr>
        <w:spacing w:line="360" w:lineRule="auto"/>
        <w:ind w:leftChars="0"/>
        <w:rPr>
          <w:rFonts w:hint="eastAsia" w:ascii="宋体" w:hAnsi="宋体" w:eastAsia="宋体" w:cs="宋体"/>
          <w:b/>
          <w:bCs/>
          <w:sz w:val="24"/>
          <w:szCs w:val="24"/>
        </w:rPr>
      </w:pPr>
      <w:r>
        <w:rPr>
          <w:rFonts w:hint="eastAsia" w:ascii="宋体" w:hAnsi="宋体" w:eastAsia="宋体" w:cs="宋体"/>
          <w:b/>
          <w:bCs/>
          <w:sz w:val="24"/>
          <w:szCs w:val="24"/>
          <w:lang w:val="en-US" w:eastAsia="zh-CN"/>
        </w:rPr>
        <w:t>5.4阀门</w:t>
      </w:r>
      <w:r>
        <w:rPr>
          <w:rFonts w:hint="eastAsia" w:ascii="宋体" w:hAnsi="宋体" w:eastAsia="宋体" w:cs="宋体"/>
          <w:b/>
          <w:bCs/>
          <w:sz w:val="24"/>
          <w:szCs w:val="24"/>
        </w:rPr>
        <w:t>设计标准:</w:t>
      </w:r>
    </w:p>
    <w:p>
      <w:pPr>
        <w:pStyle w:val="29"/>
        <w:widowControl/>
        <w:numPr>
          <w:ilvl w:val="0"/>
          <w:numId w:val="0"/>
        </w:numPr>
        <w:spacing w:line="360" w:lineRule="auto"/>
        <w:ind w:leftChars="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ASME B16.34-2013</w:t>
      </w:r>
      <w:r>
        <w:rPr>
          <w:rFonts w:hint="eastAsia" w:ascii="宋体" w:hAnsi="宋体" w:eastAsia="宋体" w:cs="宋体"/>
          <w:sz w:val="24"/>
          <w:szCs w:val="24"/>
          <w:lang w:val="en-US" w:eastAsia="zh-CN"/>
        </w:rPr>
        <w:t>中</w:t>
      </w:r>
      <w:r>
        <w:rPr>
          <w:rFonts w:hint="default" w:ascii="宋体" w:hAnsi="宋体" w:eastAsia="宋体" w:cs="宋体"/>
          <w:sz w:val="24"/>
          <w:szCs w:val="24"/>
          <w:lang w:val="en-US" w:eastAsia="zh-CN"/>
        </w:rPr>
        <w:t xml:space="preserve">5.3 </w:t>
      </w:r>
    </w:p>
    <w:p>
      <w:pPr>
        <w:pStyle w:val="29"/>
        <w:widowControl/>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5.5</w:t>
      </w:r>
      <w:r>
        <w:rPr>
          <w:rFonts w:hint="default" w:ascii="宋体" w:hAnsi="宋体" w:eastAsia="宋体" w:cs="宋体"/>
          <w:b/>
          <w:bCs/>
          <w:sz w:val="24"/>
          <w:szCs w:val="24"/>
          <w:lang w:val="en-US" w:eastAsia="zh-CN"/>
        </w:rPr>
        <w:t>电气连续性</w:t>
      </w:r>
      <w:r>
        <w:rPr>
          <w:rFonts w:hint="eastAsia" w:ascii="宋体" w:hAnsi="宋体" w:eastAsia="宋体" w:cs="宋体"/>
          <w:b/>
          <w:bCs/>
          <w:sz w:val="24"/>
          <w:szCs w:val="24"/>
          <w:lang w:val="en-US" w:eastAsia="zh-CN"/>
        </w:rPr>
        <w:t>：</w:t>
      </w:r>
    </w:p>
    <w:p>
      <w:pPr>
        <w:pStyle w:val="29"/>
        <w:widowControl/>
        <w:numPr>
          <w:ilvl w:val="0"/>
          <w:numId w:val="0"/>
        </w:numPr>
        <w:spacing w:line="360" w:lineRule="auto"/>
        <w:ind w:leftChars="0"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与阀体绝缘的内部部件可能会积聚静电电荷。例如，带有非导电材料阀座和密封件的球阀就是这种情况。当服务条件要求保持电气连续性以防止静电放电时，需指定静电接地措施。</w:t>
      </w:r>
    </w:p>
    <w:p>
      <w:pPr>
        <w:pStyle w:val="7"/>
        <w:keepNext w:val="0"/>
        <w:keepLines w:val="0"/>
        <w:pageBreakBefore w:val="0"/>
        <w:kinsoku/>
        <w:wordWrap/>
        <w:overflowPunct/>
        <w:topLinePunct w:val="0"/>
        <w:bidi w:val="0"/>
        <w:snapToGrid w:val="0"/>
        <w:spacing w:line="360" w:lineRule="auto"/>
        <w:ind w:left="0" w:leftChars="0" w:right="122" w:firstLine="0" w:firstLineChars="0"/>
        <w:jc w:val="left"/>
        <w:textAlignment w:val="auto"/>
        <w:rPr>
          <w:rFonts w:hint="default" w:ascii="宋体" w:hAnsi="宋体" w:eastAsia="宋体" w:cs="宋体"/>
          <w:sz w:val="24"/>
          <w:szCs w:val="24"/>
          <w:lang w:val="en-US" w:eastAsia="zh-CN"/>
        </w:rPr>
      </w:pPr>
      <w:r>
        <w:rPr>
          <w:rFonts w:hint="default" w:ascii="微软雅黑" w:hAnsi="微软雅黑" w:eastAsia="微软雅黑" w:cs="Times New Roman"/>
          <w:color w:val="auto"/>
          <w:highlight w:val="none"/>
          <w:lang w:val="en-US" w:eastAsia="zh-CN"/>
        </w:rPr>
        <w:t>【下述要求为对上述标准中参数的补充优化】</w:t>
      </w:r>
    </w:p>
    <w:p>
      <w:pPr>
        <w:pStyle w:val="31"/>
        <w:widowControl w:val="0"/>
        <w:spacing w:line="360" w:lineRule="auto"/>
        <w:ind w:firstLine="0"/>
        <w:rPr>
          <w:rFonts w:hint="eastAsia" w:ascii="宋体" w:hAnsi="宋体" w:cs="宋体"/>
          <w:bCs/>
          <w:color w:val="000000"/>
          <w:sz w:val="24"/>
          <w:szCs w:val="24"/>
        </w:rPr>
      </w:pPr>
      <w:r>
        <w:rPr>
          <w:rFonts w:hint="eastAsia" w:ascii="宋体" w:hAnsi="宋体" w:cs="宋体"/>
          <w:b/>
          <w:bCs w:val="0"/>
          <w:color w:val="000000"/>
          <w:sz w:val="24"/>
          <w:szCs w:val="24"/>
        </w:rPr>
        <w:t>★</w:t>
      </w:r>
      <w:r>
        <w:rPr>
          <w:rFonts w:hint="eastAsia" w:ascii="宋体" w:hAnsi="宋体" w:cs="宋体"/>
          <w:b/>
          <w:bCs w:val="0"/>
          <w:color w:val="000000"/>
          <w:sz w:val="24"/>
          <w:szCs w:val="24"/>
          <w:lang w:val="en-US" w:eastAsia="zh-CN"/>
        </w:rPr>
        <w:t xml:space="preserve">5.5 </w:t>
      </w:r>
      <w:r>
        <w:rPr>
          <w:rFonts w:hint="eastAsia" w:ascii="宋体" w:hAnsi="宋体" w:cs="宋体"/>
          <w:b/>
          <w:bCs w:val="0"/>
          <w:color w:val="000000"/>
          <w:sz w:val="24"/>
          <w:szCs w:val="24"/>
        </w:rPr>
        <w:t>使用环境</w:t>
      </w:r>
      <w:r>
        <w:rPr>
          <w:rFonts w:hint="eastAsia" w:ascii="宋体" w:hAnsi="宋体" w:cs="宋体"/>
          <w:b/>
          <w:bCs w:val="0"/>
          <w:color w:val="000000"/>
          <w:sz w:val="24"/>
          <w:szCs w:val="24"/>
          <w:lang w:eastAsia="zh-CN"/>
        </w:rPr>
        <w:t>：</w:t>
      </w:r>
      <w:r>
        <w:rPr>
          <w:rFonts w:hint="eastAsia" w:ascii="宋体" w:hAnsi="宋体" w:cs="宋体"/>
          <w:bCs/>
          <w:color w:val="000000"/>
          <w:sz w:val="24"/>
          <w:szCs w:val="24"/>
        </w:rPr>
        <w:t>为海上盐雾腐蚀环境，因此所有器件（除泵、蓄能器外）的金属部件应为316SS，密封件适用于</w:t>
      </w:r>
      <w:r>
        <w:rPr>
          <w:rFonts w:hint="eastAsia" w:ascii="宋体" w:hAnsi="宋体" w:cs="宋体"/>
          <w:bCs/>
          <w:color w:val="000000"/>
          <w:sz w:val="24"/>
          <w:szCs w:val="24"/>
          <w:lang w:eastAsia="zh-CN"/>
        </w:rPr>
        <w:t>水基液压油</w:t>
      </w:r>
      <w:r>
        <w:rPr>
          <w:rFonts w:hint="eastAsia" w:ascii="宋体" w:hAnsi="宋体" w:cs="宋体"/>
          <w:bCs/>
          <w:color w:val="000000"/>
          <w:sz w:val="24"/>
          <w:szCs w:val="24"/>
        </w:rPr>
        <w:t>，带电部分防护等级要求IP56，防爆类型为隔爆型，ExdIIBT4。</w:t>
      </w:r>
    </w:p>
    <w:p>
      <w:pPr>
        <w:pStyle w:val="31"/>
        <w:widowControl w:val="0"/>
        <w:numPr>
          <w:ilvl w:val="0"/>
          <w:numId w:val="0"/>
        </w:numPr>
        <w:spacing w:line="360" w:lineRule="auto"/>
        <w:ind w:leftChars="0"/>
        <w:rPr>
          <w:rFonts w:hint="default" w:ascii="宋体" w:hAnsi="宋体" w:eastAsia="宋体" w:cs="宋体"/>
          <w:b/>
          <w:color w:val="000000"/>
          <w:sz w:val="24"/>
          <w:szCs w:val="24"/>
          <w:lang w:val="en-US"/>
        </w:rPr>
      </w:pPr>
      <w:r>
        <w:rPr>
          <w:rFonts w:hint="eastAsia" w:ascii="宋体" w:hAnsi="宋体" w:cs="宋体"/>
          <w:b/>
          <w:color w:val="000000"/>
          <w:sz w:val="24"/>
          <w:szCs w:val="24"/>
          <w:lang w:val="en-US" w:eastAsia="zh-CN"/>
        </w:rPr>
        <w:t xml:space="preserve">5.6 </w:t>
      </w:r>
      <w:r>
        <w:rPr>
          <w:rFonts w:hint="eastAsia" w:ascii="宋体" w:hAnsi="宋体" w:eastAsia="宋体" w:cs="宋体"/>
          <w:b/>
          <w:color w:val="000000"/>
          <w:sz w:val="24"/>
          <w:szCs w:val="24"/>
          <w:lang w:val="en-US" w:eastAsia="zh-CN"/>
        </w:rPr>
        <w:t>螺纹</w:t>
      </w:r>
      <w:r>
        <w:rPr>
          <w:rFonts w:hint="eastAsia" w:ascii="宋体" w:hAnsi="宋体" w:cs="宋体"/>
          <w:b/>
          <w:color w:val="000000"/>
          <w:sz w:val="24"/>
          <w:szCs w:val="24"/>
          <w:lang w:val="en-US" w:eastAsia="zh-CN"/>
        </w:rPr>
        <w:t>要求</w:t>
      </w:r>
    </w:p>
    <w:p>
      <w:pPr>
        <w:pStyle w:val="31"/>
        <w:widowControl w:val="0"/>
        <w:spacing w:line="360" w:lineRule="auto"/>
        <w:ind w:firstLine="0"/>
        <w:rPr>
          <w:rFonts w:hint="default" w:ascii="宋体" w:hAnsi="宋体" w:cs="宋体"/>
          <w:bCs/>
          <w:color w:val="000000"/>
          <w:sz w:val="24"/>
          <w:szCs w:val="24"/>
          <w:lang w:val="en-US" w:eastAsia="zh-CN"/>
        </w:rPr>
      </w:pPr>
      <w:r>
        <w:rPr>
          <w:rFonts w:hint="eastAsia" w:ascii="宋体" w:hAnsi="宋体" w:cs="宋体"/>
          <w:bCs/>
          <w:color w:val="000000"/>
          <w:sz w:val="24"/>
          <w:szCs w:val="24"/>
          <w:lang w:val="en-US" w:eastAsia="zh-CN"/>
        </w:rPr>
        <w:t>常规NPT螺纹需满足：</w:t>
      </w:r>
    </w:p>
    <w:p>
      <w:pPr>
        <w:pStyle w:val="29"/>
        <w:widowControl/>
        <w:numPr>
          <w:ilvl w:val="0"/>
          <w:numId w:val="5"/>
        </w:numPr>
        <w:spacing w:line="360" w:lineRule="auto"/>
        <w:ind w:left="425" w:leftChars="0" w:hanging="425" w:firstLineChars="0"/>
        <w:rPr>
          <w:rFonts w:hint="eastAsia" w:ascii="宋体" w:hAnsi="宋体" w:eastAsia="宋体" w:cs="宋体"/>
          <w:sz w:val="24"/>
          <w:szCs w:val="24"/>
        </w:rPr>
      </w:pPr>
      <w:r>
        <w:rPr>
          <w:rFonts w:hint="eastAsia" w:ascii="宋体" w:hAnsi="宋体" w:cs="宋体"/>
          <w:b/>
          <w:color w:val="000000"/>
          <w:sz w:val="24"/>
          <w:szCs w:val="24"/>
        </w:rPr>
        <w:t>★</w:t>
      </w:r>
      <w:r>
        <w:rPr>
          <w:rFonts w:hint="eastAsia" w:ascii="宋体" w:hAnsi="宋体" w:eastAsia="宋体" w:cs="宋体"/>
          <w:sz w:val="24"/>
          <w:szCs w:val="24"/>
        </w:rPr>
        <w:t>螺纹部分ASME B1.20.1-2013</w:t>
      </w:r>
      <w:r>
        <w:rPr>
          <w:rFonts w:hint="eastAsia" w:ascii="宋体" w:hAnsi="宋体" w:eastAsia="宋体" w:cs="宋体"/>
          <w:sz w:val="24"/>
          <w:szCs w:val="24"/>
          <w:lang w:val="en-US" w:eastAsia="zh-CN"/>
        </w:rPr>
        <w:t>中 表2，关于螺纹公差的要求</w:t>
      </w:r>
    </w:p>
    <w:p>
      <w:pPr>
        <w:pStyle w:val="29"/>
        <w:widowControl/>
        <w:numPr>
          <w:ilvl w:val="0"/>
          <w:numId w:val="0"/>
        </w:numPr>
        <w:spacing w:line="360" w:lineRule="auto"/>
        <w:ind w:leftChars="0"/>
      </w:pPr>
      <w:r>
        <w:drawing>
          <wp:inline distT="0" distB="0" distL="114300" distR="114300">
            <wp:extent cx="5773420" cy="3425190"/>
            <wp:effectExtent l="0" t="0" r="1778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773420" cy="3425190"/>
                    </a:xfrm>
                    <a:prstGeom prst="rect">
                      <a:avLst/>
                    </a:prstGeom>
                    <a:noFill/>
                    <a:ln>
                      <a:noFill/>
                    </a:ln>
                  </pic:spPr>
                </pic:pic>
              </a:graphicData>
            </a:graphic>
          </wp:inline>
        </w:drawing>
      </w:r>
    </w:p>
    <w:p>
      <w:pPr>
        <w:pStyle w:val="29"/>
        <w:widowControl/>
        <w:numPr>
          <w:ilvl w:val="0"/>
          <w:numId w:val="5"/>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螺纹部分ASME B1.20.1-2013</w:t>
      </w:r>
      <w:r>
        <w:rPr>
          <w:rFonts w:hint="eastAsia" w:ascii="宋体" w:hAnsi="宋体" w:eastAsia="宋体" w:cs="宋体"/>
          <w:sz w:val="24"/>
          <w:szCs w:val="24"/>
          <w:lang w:val="en-US" w:eastAsia="zh-CN"/>
        </w:rPr>
        <w:t>中 表8，关于螺纹尺寸的要求</w:t>
      </w:r>
    </w:p>
    <w:p>
      <w:pPr>
        <w:pStyle w:val="29"/>
        <w:widowControl/>
        <w:numPr>
          <w:ilvl w:val="0"/>
          <w:numId w:val="0"/>
        </w:numPr>
        <w:spacing w:line="360" w:lineRule="auto"/>
        <w:ind w:leftChars="0"/>
      </w:pPr>
      <w:r>
        <w:drawing>
          <wp:inline distT="0" distB="0" distL="114300" distR="114300">
            <wp:extent cx="5747385" cy="3715385"/>
            <wp:effectExtent l="0" t="0" r="5715" b="1841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5747385" cy="3715385"/>
                    </a:xfrm>
                    <a:prstGeom prst="rect">
                      <a:avLst/>
                    </a:prstGeom>
                    <a:noFill/>
                    <a:ln>
                      <a:noFill/>
                    </a:ln>
                  </pic:spPr>
                </pic:pic>
              </a:graphicData>
            </a:graphic>
          </wp:inline>
        </w:drawing>
      </w:r>
    </w:p>
    <w:p>
      <w:pPr>
        <w:pStyle w:val="7"/>
        <w:keepNext w:val="0"/>
        <w:keepLines w:val="0"/>
        <w:pageBreakBefore w:val="0"/>
        <w:kinsoku/>
        <w:wordWrap/>
        <w:overflowPunct/>
        <w:topLinePunct w:val="0"/>
        <w:bidi w:val="0"/>
        <w:snapToGrid w:val="0"/>
        <w:spacing w:line="360" w:lineRule="auto"/>
        <w:ind w:left="0" w:leftChars="0" w:right="122" w:firstLine="0" w:firstLineChars="0"/>
        <w:jc w:val="left"/>
        <w:textAlignment w:val="auto"/>
        <w:rPr>
          <w:rFonts w:hint="default" w:ascii="宋体" w:hAnsi="宋体" w:eastAsia="宋体" w:cs="宋体"/>
          <w:sz w:val="24"/>
          <w:szCs w:val="24"/>
          <w:lang w:val="en-US" w:eastAsia="zh-CN"/>
        </w:rPr>
      </w:pPr>
      <w:r>
        <w:rPr>
          <w:rFonts w:hint="default" w:ascii="微软雅黑" w:hAnsi="微软雅黑" w:eastAsia="微软雅黑" w:cs="Times New Roman"/>
          <w:color w:val="auto"/>
          <w:highlight w:val="none"/>
          <w:lang w:val="en-US" w:eastAsia="zh-CN"/>
        </w:rPr>
        <w:t>【下述要求为对上述标准中参数的补充优化】</w:t>
      </w:r>
    </w:p>
    <w:p>
      <w:pPr>
        <w:pStyle w:val="29"/>
        <w:widowControl/>
        <w:numPr>
          <w:ilvl w:val="0"/>
          <w:numId w:val="6"/>
        </w:numPr>
        <w:spacing w:line="360" w:lineRule="auto"/>
        <w:ind w:leftChars="0"/>
        <w:rPr>
          <w:rFonts w:hint="eastAsia"/>
          <w:lang w:val="en-US" w:eastAsia="zh-CN"/>
        </w:rPr>
      </w:pPr>
      <w:r>
        <w:rPr>
          <w:rFonts w:hint="eastAsia"/>
          <w:lang w:val="en-US" w:eastAsia="zh-CN"/>
        </w:rPr>
        <w:t>OD螺纹为双卡套连接方式，不在NPT螺纹要求之内。</w:t>
      </w:r>
    </w:p>
    <w:p>
      <w:pPr>
        <w:pStyle w:val="29"/>
        <w:widowControl/>
        <w:numPr>
          <w:ilvl w:val="0"/>
          <w:numId w:val="6"/>
        </w:numPr>
        <w:spacing w:line="360" w:lineRule="auto"/>
        <w:ind w:leftChars="0"/>
        <w:rPr>
          <w:rFonts w:hint="default"/>
          <w:lang w:val="en-US" w:eastAsia="zh-CN"/>
        </w:rPr>
      </w:pPr>
      <w:r>
        <w:rPr>
          <w:rFonts w:hint="eastAsia"/>
          <w:lang w:val="en-US" w:eastAsia="zh-CN"/>
        </w:rPr>
        <w:t>MP为中高压管线自攻螺纹接口，其基本形式见下图。</w:t>
      </w:r>
    </w:p>
    <w:p>
      <w:pPr>
        <w:pStyle w:val="29"/>
        <w:widowControl/>
        <w:numPr>
          <w:ilvl w:val="0"/>
          <w:numId w:val="0"/>
        </w:numPr>
        <w:spacing w:line="360" w:lineRule="auto"/>
        <w:ind w:leftChars="200"/>
      </w:pPr>
      <w:r>
        <w:drawing>
          <wp:inline distT="0" distB="0" distL="114300" distR="114300">
            <wp:extent cx="2228215" cy="1562735"/>
            <wp:effectExtent l="0" t="0" r="63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2228215" cy="1562735"/>
                    </a:xfrm>
                    <a:prstGeom prst="rect">
                      <a:avLst/>
                    </a:prstGeom>
                    <a:noFill/>
                    <a:ln>
                      <a:noFill/>
                    </a:ln>
                  </pic:spPr>
                </pic:pic>
              </a:graphicData>
            </a:graphic>
          </wp:inline>
        </w:drawing>
      </w:r>
      <w:r>
        <w:drawing>
          <wp:inline distT="0" distB="0" distL="114300" distR="114300">
            <wp:extent cx="2696845" cy="1271905"/>
            <wp:effectExtent l="0" t="0" r="825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2696845" cy="1271905"/>
                    </a:xfrm>
                    <a:prstGeom prst="rect">
                      <a:avLst/>
                    </a:prstGeom>
                    <a:noFill/>
                    <a:ln>
                      <a:noFill/>
                    </a:ln>
                  </pic:spPr>
                </pic:pic>
              </a:graphicData>
            </a:graphic>
          </wp:inline>
        </w:drawing>
      </w:r>
    </w:p>
    <w:p>
      <w:pPr>
        <w:pStyle w:val="31"/>
        <w:widowControl w:val="0"/>
        <w:numPr>
          <w:ilvl w:val="0"/>
          <w:numId w:val="0"/>
        </w:numPr>
        <w:spacing w:line="360" w:lineRule="auto"/>
        <w:ind w:leftChars="0"/>
        <w:rPr>
          <w:rFonts w:hint="default"/>
          <w:lang w:val="en-US" w:eastAsia="zh-CN"/>
        </w:rPr>
      </w:pPr>
      <w:r>
        <w:rPr>
          <w:rFonts w:hint="eastAsia" w:ascii="宋体" w:hAnsi="宋体" w:cs="宋体"/>
          <w:b/>
          <w:color w:val="000000"/>
          <w:sz w:val="24"/>
          <w:szCs w:val="24"/>
          <w:lang w:val="en-US" w:eastAsia="zh-CN"/>
        </w:rPr>
        <w:t xml:space="preserve">5.7 </w:t>
      </w:r>
      <w:r>
        <w:rPr>
          <w:rFonts w:hint="eastAsia" w:ascii="宋体" w:hAnsi="宋体" w:eastAsia="宋体" w:cs="宋体"/>
          <w:b/>
          <w:color w:val="000000"/>
          <w:sz w:val="24"/>
          <w:szCs w:val="24"/>
          <w:lang w:val="en-US" w:eastAsia="zh-CN"/>
        </w:rPr>
        <w:t>材质</w:t>
      </w:r>
      <w:r>
        <w:rPr>
          <w:rFonts w:hint="eastAsia" w:ascii="宋体" w:hAnsi="宋体" w:cs="宋体"/>
          <w:b/>
          <w:color w:val="000000"/>
          <w:sz w:val="24"/>
          <w:szCs w:val="24"/>
          <w:lang w:val="en-US" w:eastAsia="zh-CN"/>
        </w:rPr>
        <w:t>要求</w:t>
      </w:r>
    </w:p>
    <w:p>
      <w:pPr>
        <w:pStyle w:val="29"/>
        <w:widowControl/>
        <w:numPr>
          <w:ilvl w:val="0"/>
          <w:numId w:val="7"/>
        </w:numPr>
        <w:spacing w:line="360" w:lineRule="auto"/>
        <w:ind w:left="425" w:leftChars="0" w:hanging="425" w:firstLineChars="0"/>
        <w:rPr>
          <w:rFonts w:hint="eastAsia" w:ascii="宋体" w:hAnsi="宋体" w:eastAsia="宋体" w:cs="宋体"/>
          <w:sz w:val="24"/>
          <w:szCs w:val="24"/>
          <w:lang w:eastAsia="zh-CN"/>
        </w:rPr>
      </w:pPr>
      <w:r>
        <w:rPr>
          <w:rFonts w:hint="eastAsia" w:ascii="宋体" w:hAnsi="宋体" w:eastAsia="宋体" w:cs="宋体"/>
          <w:sz w:val="24"/>
          <w:szCs w:val="24"/>
        </w:rPr>
        <w:t>棒材标准依据：ASTM A479</w:t>
      </w:r>
      <w:r>
        <w:rPr>
          <w:rFonts w:hint="eastAsia" w:ascii="宋体" w:hAnsi="宋体" w:eastAsia="宋体" w:cs="宋体"/>
          <w:sz w:val="24"/>
          <w:szCs w:val="24"/>
          <w:lang w:val="en-US" w:eastAsia="zh-CN"/>
        </w:rPr>
        <w:t>/A476M-24中，表1对应S31600的要求</w:t>
      </w:r>
      <w:r>
        <w:rPr>
          <w:rFonts w:hint="eastAsia" w:ascii="宋体" w:hAnsi="宋体" w:eastAsia="宋体" w:cs="宋体"/>
          <w:sz w:val="24"/>
          <w:szCs w:val="24"/>
          <w:lang w:eastAsia="zh-CN"/>
        </w:rPr>
        <w:t>：</w:t>
      </w:r>
    </w:p>
    <w:p>
      <w:pPr>
        <w:pStyle w:val="29"/>
        <w:widowControl/>
        <w:numPr>
          <w:ilvl w:val="0"/>
          <w:numId w:val="0"/>
        </w:numPr>
        <w:spacing w:line="360" w:lineRule="auto"/>
        <w:ind w:leftChars="0"/>
        <w:rPr>
          <w:rFonts w:hint="eastAsia" w:ascii="宋体" w:hAnsi="宋体" w:eastAsia="宋体" w:cs="宋体"/>
          <w:sz w:val="24"/>
          <w:szCs w:val="24"/>
        </w:rPr>
      </w:pPr>
      <w:r>
        <w:rPr>
          <w:rFonts w:hint="eastAsia" w:ascii="宋体" w:hAnsi="宋体" w:cs="宋体"/>
          <w:b/>
          <w:color w:val="000000"/>
          <w:sz w:val="24"/>
          <w:szCs w:val="24"/>
        </w:rPr>
        <w:t>★</w:t>
      </w:r>
      <w:r>
        <w:rPr>
          <w:rFonts w:hint="eastAsia" w:ascii="宋体" w:hAnsi="宋体" w:eastAsia="宋体" w:cs="宋体"/>
          <w:sz w:val="24"/>
          <w:szCs w:val="24"/>
        </w:rPr>
        <w:t>阀体</w:t>
      </w:r>
      <w:r>
        <w:rPr>
          <w:rFonts w:hint="eastAsia" w:ascii="宋体" w:hAnsi="宋体" w:eastAsia="宋体" w:cs="宋体"/>
          <w:sz w:val="24"/>
          <w:szCs w:val="24"/>
          <w:lang w:val="en-US" w:eastAsia="zh-CN"/>
        </w:rPr>
        <w:t>棒材</w:t>
      </w:r>
      <w:r>
        <w:rPr>
          <w:rFonts w:hint="eastAsia" w:ascii="宋体" w:hAnsi="宋体" w:eastAsia="宋体" w:cs="宋体"/>
          <w:sz w:val="24"/>
          <w:szCs w:val="24"/>
        </w:rPr>
        <w:t>要求：316，化学成份如下：</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无补充</w:t>
      </w:r>
      <w:r>
        <w:rPr>
          <w:rFonts w:hint="eastAsia" w:ascii="宋体" w:hAnsi="宋体" w:eastAsia="宋体" w:cs="宋体"/>
          <w:sz w:val="24"/>
          <w:szCs w:val="24"/>
          <w:lang w:eastAsia="zh-CN"/>
        </w:rPr>
        <w:t>）</w:t>
      </w:r>
    </w:p>
    <w:tbl>
      <w:tblPr>
        <w:tblStyle w:val="13"/>
        <w:tblW w:w="4820" w:type="pct"/>
        <w:tblInd w:w="250" w:type="dxa"/>
        <w:tblLayout w:type="fixed"/>
        <w:tblCellMar>
          <w:top w:w="0" w:type="dxa"/>
          <w:left w:w="0" w:type="dxa"/>
          <w:bottom w:w="0" w:type="dxa"/>
          <w:right w:w="0" w:type="dxa"/>
        </w:tblCellMar>
      </w:tblPr>
      <w:tblGrid>
        <w:gridCol w:w="871"/>
        <w:gridCol w:w="744"/>
        <w:gridCol w:w="872"/>
        <w:gridCol w:w="872"/>
        <w:gridCol w:w="744"/>
        <w:gridCol w:w="1092"/>
        <w:gridCol w:w="1637"/>
        <w:gridCol w:w="1383"/>
      </w:tblGrid>
      <w:tr>
        <w:tblPrEx>
          <w:tblCellMar>
            <w:top w:w="0" w:type="dxa"/>
            <w:left w:w="0" w:type="dxa"/>
            <w:bottom w:w="0" w:type="dxa"/>
            <w:right w:w="0" w:type="dxa"/>
          </w:tblCellMar>
        </w:tblPrEx>
        <w:trPr>
          <w:trHeight w:val="465" w:hRule="atLeast"/>
        </w:trPr>
        <w:tc>
          <w:tcPr>
            <w:tcW w:w="530" w:type="pct"/>
            <w:tcBorders>
              <w:top w:val="single" w:color="auto" w:sz="8" w:space="0"/>
              <w:left w:val="single" w:color="auto" w:sz="8" w:space="0"/>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碳</w:t>
            </w:r>
          </w:p>
        </w:tc>
        <w:tc>
          <w:tcPr>
            <w:tcW w:w="452"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锰</w:t>
            </w:r>
          </w:p>
        </w:tc>
        <w:tc>
          <w:tcPr>
            <w:tcW w:w="530"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磷</w:t>
            </w:r>
          </w:p>
        </w:tc>
        <w:tc>
          <w:tcPr>
            <w:tcW w:w="530"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硫</w:t>
            </w:r>
          </w:p>
        </w:tc>
        <w:tc>
          <w:tcPr>
            <w:tcW w:w="452" w:type="pct"/>
            <w:tcBorders>
              <w:top w:val="single" w:color="auto" w:sz="8" w:space="0"/>
              <w:left w:val="nil"/>
              <w:bottom w:val="single" w:color="auto" w:sz="8" w:space="0"/>
              <w:right w:val="single" w:color="000000" w:sz="8" w:space="0"/>
            </w:tcBorders>
            <w:shd w:val="clear" w:color="auto" w:fill="auto"/>
            <w:tcMar>
              <w:top w:w="0" w:type="dxa"/>
              <w:left w:w="108" w:type="dxa"/>
              <w:bottom w:w="0" w:type="dxa"/>
              <w:right w:w="108" w:type="dxa"/>
            </w:tcMar>
            <w:vAlign w:val="center"/>
          </w:tcPr>
          <w:p>
            <w:pPr>
              <w:jc w:val="center"/>
              <w:rPr>
                <w:rFonts w:hint="eastAsia" w:ascii="宋体" w:hAnsi="宋体" w:eastAsia="宋体" w:cs="宋体"/>
                <w:b/>
                <w:bCs/>
                <w:sz w:val="24"/>
                <w:szCs w:val="24"/>
                <w:lang w:val="en-US" w:eastAsia="zh-CN" w:bidi="ar-SA"/>
              </w:rPr>
            </w:pPr>
            <w:r>
              <w:rPr>
                <w:rFonts w:hint="eastAsia" w:ascii="宋体" w:hAnsi="宋体" w:cs="宋体"/>
                <w:b/>
                <w:bCs/>
              </w:rPr>
              <w:t>硅</w:t>
            </w:r>
          </w:p>
        </w:tc>
        <w:tc>
          <w:tcPr>
            <w:tcW w:w="664"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镍</w:t>
            </w:r>
          </w:p>
        </w:tc>
        <w:tc>
          <w:tcPr>
            <w:tcW w:w="996"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铬</w:t>
            </w:r>
          </w:p>
        </w:tc>
        <w:tc>
          <w:tcPr>
            <w:tcW w:w="841" w:type="pct"/>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jc w:val="center"/>
              <w:rPr>
                <w:rFonts w:hint="eastAsia" w:ascii="宋体" w:hAnsi="宋体" w:cs="宋体"/>
                <w:b/>
                <w:bCs/>
              </w:rPr>
            </w:pPr>
            <w:r>
              <w:rPr>
                <w:rFonts w:hint="eastAsia" w:ascii="宋体" w:hAnsi="宋体" w:cs="宋体"/>
                <w:b/>
                <w:bCs/>
              </w:rPr>
              <w:t>钼</w:t>
            </w:r>
          </w:p>
        </w:tc>
      </w:tr>
      <w:tr>
        <w:tblPrEx>
          <w:tblCellMar>
            <w:top w:w="0" w:type="dxa"/>
            <w:left w:w="0" w:type="dxa"/>
            <w:bottom w:w="0" w:type="dxa"/>
            <w:right w:w="0" w:type="dxa"/>
          </w:tblCellMar>
        </w:tblPrEx>
        <w:trPr>
          <w:trHeight w:val="465" w:hRule="atLeast"/>
        </w:trPr>
        <w:tc>
          <w:tcPr>
            <w:tcW w:w="530"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≤0.080</w:t>
            </w:r>
          </w:p>
        </w:tc>
        <w:tc>
          <w:tcPr>
            <w:tcW w:w="452"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≤2.00</w:t>
            </w:r>
          </w:p>
        </w:tc>
        <w:tc>
          <w:tcPr>
            <w:tcW w:w="530"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≤0.045</w:t>
            </w:r>
          </w:p>
        </w:tc>
        <w:tc>
          <w:tcPr>
            <w:tcW w:w="530"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≤0.030</w:t>
            </w:r>
          </w:p>
        </w:tc>
        <w:tc>
          <w:tcPr>
            <w:tcW w:w="452" w:type="pct"/>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jc w:val="center"/>
              <w:rPr>
                <w:rFonts w:hint="eastAsia" w:ascii="宋体" w:hAnsi="宋体" w:eastAsia="宋体" w:cs="宋体"/>
                <w:sz w:val="24"/>
                <w:szCs w:val="24"/>
                <w:lang w:val="en-US" w:eastAsia="zh-CN" w:bidi="ar-SA"/>
              </w:rPr>
            </w:pPr>
            <w:r>
              <w:rPr>
                <w:rFonts w:hint="eastAsia" w:ascii="宋体" w:hAnsi="宋体" w:cs="宋体"/>
              </w:rPr>
              <w:t>≤1.00</w:t>
            </w:r>
          </w:p>
        </w:tc>
        <w:tc>
          <w:tcPr>
            <w:tcW w:w="664"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10.00-14.00</w:t>
            </w:r>
          </w:p>
        </w:tc>
        <w:tc>
          <w:tcPr>
            <w:tcW w:w="996"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16.00-18.00</w:t>
            </w:r>
          </w:p>
        </w:tc>
        <w:tc>
          <w:tcPr>
            <w:tcW w:w="841" w:type="pct"/>
            <w:tcBorders>
              <w:top w:val="nil"/>
              <w:left w:val="nil"/>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cs="宋体"/>
              </w:rPr>
            </w:pPr>
            <w:r>
              <w:rPr>
                <w:rFonts w:hint="eastAsia" w:ascii="宋体" w:hAnsi="宋体" w:cs="宋体"/>
              </w:rPr>
              <w:t>2.00-3.00</w:t>
            </w:r>
          </w:p>
        </w:tc>
      </w:tr>
    </w:tbl>
    <w:p>
      <w:pPr>
        <w:pStyle w:val="31"/>
        <w:widowControl w:val="0"/>
        <w:numPr>
          <w:ilvl w:val="0"/>
          <w:numId w:val="0"/>
        </w:numPr>
        <w:spacing w:line="360" w:lineRule="auto"/>
        <w:ind w:leftChars="0"/>
        <w:rPr>
          <w:rFonts w:hint="eastAsia" w:ascii="宋体" w:hAnsi="宋体" w:cs="宋体"/>
          <w:b/>
          <w:color w:val="000000"/>
          <w:sz w:val="24"/>
          <w:szCs w:val="24"/>
        </w:rPr>
      </w:pPr>
    </w:p>
    <w:p>
      <w:pPr>
        <w:pStyle w:val="31"/>
        <w:widowControl w:val="0"/>
        <w:numPr>
          <w:ilvl w:val="0"/>
          <w:numId w:val="0"/>
        </w:numPr>
        <w:spacing w:line="360" w:lineRule="auto"/>
        <w:ind w:leftChars="0"/>
        <w:rPr>
          <w:rFonts w:hint="eastAsia" w:ascii="宋体" w:hAnsi="宋体" w:cs="宋体"/>
          <w:b/>
          <w:color w:val="000000"/>
          <w:sz w:val="24"/>
          <w:szCs w:val="24"/>
        </w:rPr>
      </w:pPr>
    </w:p>
    <w:p>
      <w:pPr>
        <w:pStyle w:val="31"/>
        <w:widowControl w:val="0"/>
        <w:numPr>
          <w:ilvl w:val="0"/>
          <w:numId w:val="0"/>
        </w:numPr>
        <w:spacing w:line="360" w:lineRule="auto"/>
        <w:ind w:leftChars="0"/>
        <w:rPr>
          <w:rFonts w:hint="eastAsia" w:ascii="宋体" w:hAnsi="宋体" w:cs="宋体"/>
          <w:b/>
          <w:color w:val="000000"/>
          <w:sz w:val="24"/>
          <w:szCs w:val="24"/>
        </w:rPr>
      </w:pPr>
      <w:r>
        <w:rPr>
          <w:rFonts w:hint="eastAsia" w:ascii="宋体" w:hAnsi="宋体" w:cs="宋体"/>
          <w:b/>
          <w:color w:val="000000"/>
          <w:sz w:val="24"/>
          <w:szCs w:val="24"/>
          <w:lang w:val="en-US" w:eastAsia="zh-CN"/>
        </w:rPr>
        <w:t>5.8 其他</w:t>
      </w:r>
      <w:r>
        <w:rPr>
          <w:rFonts w:hint="eastAsia" w:ascii="宋体" w:hAnsi="宋体" w:cs="宋体"/>
          <w:b/>
          <w:color w:val="000000"/>
          <w:sz w:val="24"/>
          <w:szCs w:val="24"/>
        </w:rPr>
        <w:t>技术要求：</w:t>
      </w:r>
    </w:p>
    <w:p>
      <w:pPr>
        <w:pStyle w:val="31"/>
        <w:widowControl w:val="0"/>
        <w:spacing w:line="360" w:lineRule="auto"/>
        <w:ind w:firstLine="0"/>
        <w:rPr>
          <w:rFonts w:hint="eastAsia" w:ascii="宋体" w:hAnsi="宋体" w:cs="宋体"/>
          <w:bCs/>
          <w:color w:val="000000"/>
          <w:sz w:val="24"/>
          <w:szCs w:val="24"/>
        </w:rPr>
      </w:pPr>
      <w:r>
        <w:rPr>
          <w:rFonts w:hint="eastAsia" w:ascii="宋体" w:hAnsi="宋体" w:cs="宋体"/>
          <w:bCs/>
          <w:color w:val="000000"/>
          <w:sz w:val="24"/>
          <w:szCs w:val="24"/>
          <w:lang w:val="en-US" w:eastAsia="zh-CN"/>
        </w:rPr>
        <w:t>（1）</w:t>
      </w:r>
      <w:r>
        <w:rPr>
          <w:rFonts w:hint="eastAsia" w:ascii="宋体" w:hAnsi="宋体" w:cs="宋体"/>
          <w:bCs/>
          <w:color w:val="000000"/>
          <w:sz w:val="24"/>
          <w:szCs w:val="24"/>
        </w:rPr>
        <w:t>使用环境为海上盐雾腐蚀环境，因此所有器件的金属部件应为316SS，密封件适用于</w:t>
      </w:r>
      <w:r>
        <w:rPr>
          <w:rFonts w:hint="eastAsia" w:ascii="宋体" w:hAnsi="宋体" w:cs="宋体"/>
          <w:bCs/>
          <w:color w:val="000000"/>
          <w:sz w:val="24"/>
          <w:szCs w:val="24"/>
          <w:lang w:eastAsia="zh-CN"/>
        </w:rPr>
        <w:t>水基液压油</w:t>
      </w:r>
      <w:r>
        <w:rPr>
          <w:rFonts w:hint="eastAsia" w:ascii="宋体" w:hAnsi="宋体" w:cs="宋体"/>
          <w:bCs/>
          <w:color w:val="000000"/>
          <w:sz w:val="24"/>
          <w:szCs w:val="24"/>
        </w:rPr>
        <w:t>，带电部分防护等级要求IP56，防爆类型为隔爆型，ExdIIBT4。</w:t>
      </w:r>
    </w:p>
    <w:p>
      <w:pPr>
        <w:pStyle w:val="31"/>
        <w:widowControl w:val="0"/>
        <w:spacing w:line="360" w:lineRule="auto"/>
        <w:ind w:firstLine="0"/>
        <w:rPr>
          <w:rFonts w:hint="eastAsia" w:ascii="宋体" w:hAnsi="宋体" w:eastAsia="宋体" w:cs="宋体"/>
          <w:bCs/>
          <w:color w:val="000000"/>
          <w:sz w:val="24"/>
          <w:szCs w:val="24"/>
          <w:lang w:eastAsia="zh-CN"/>
        </w:rPr>
      </w:pPr>
      <w:r>
        <w:rPr>
          <w:rFonts w:hint="eastAsia" w:ascii="宋体" w:hAnsi="宋体" w:cs="宋体"/>
          <w:bCs/>
          <w:color w:val="000000"/>
          <w:sz w:val="24"/>
          <w:szCs w:val="24"/>
          <w:lang w:val="en-US" w:eastAsia="zh-CN"/>
        </w:rPr>
        <w:t>（2）</w:t>
      </w:r>
      <w:r>
        <w:rPr>
          <w:rFonts w:hint="eastAsia" w:ascii="宋体" w:hAnsi="宋体" w:cs="宋体"/>
          <w:bCs/>
          <w:color w:val="000000"/>
          <w:sz w:val="24"/>
          <w:szCs w:val="24"/>
        </w:rPr>
        <w:t>所有元器件品牌要求在海上平台有应用业绩，以业绩清单方式提供，包括在哪个具体平台，设备名称等信息。</w:t>
      </w: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可在供货前，或供货时提供</w:t>
      </w:r>
      <w:r>
        <w:rPr>
          <w:rFonts w:hint="eastAsia" w:ascii="宋体" w:hAnsi="宋体" w:cs="宋体"/>
          <w:bCs/>
          <w:color w:val="000000"/>
          <w:sz w:val="24"/>
          <w:szCs w:val="24"/>
          <w:lang w:eastAsia="zh-CN"/>
        </w:rPr>
        <w:t>）</w:t>
      </w:r>
    </w:p>
    <w:p>
      <w:pPr>
        <w:pStyle w:val="31"/>
        <w:widowControl w:val="0"/>
        <w:spacing w:line="360" w:lineRule="auto"/>
        <w:ind w:firstLine="0"/>
        <w:rPr>
          <w:rFonts w:hint="eastAsia" w:ascii="宋体" w:hAnsi="宋体" w:cs="宋体"/>
          <w:bCs/>
          <w:color w:val="000000"/>
          <w:sz w:val="24"/>
          <w:szCs w:val="24"/>
        </w:rPr>
      </w:pPr>
      <w:r>
        <w:rPr>
          <w:rFonts w:hint="eastAsia" w:ascii="宋体" w:hAnsi="宋体" w:cs="宋体"/>
          <w:bCs/>
          <w:color w:val="000000"/>
          <w:sz w:val="24"/>
          <w:szCs w:val="24"/>
          <w:lang w:val="en-US" w:eastAsia="zh-CN"/>
        </w:rPr>
        <w:t>（3）</w:t>
      </w:r>
      <w:r>
        <w:rPr>
          <w:rFonts w:hint="eastAsia" w:ascii="宋体" w:hAnsi="宋体" w:cs="宋体"/>
          <w:bCs/>
          <w:color w:val="000000"/>
          <w:sz w:val="24"/>
          <w:szCs w:val="24"/>
        </w:rPr>
        <w:t>所有规格型号中要求的压力等级、通径尺寸、接口形式、排量等参数性要求必须满足，如有不满足的情况，须书面提出澄清，买方回复同意后方能让步使用。</w:t>
      </w:r>
    </w:p>
    <w:p>
      <w:pPr>
        <w:pStyle w:val="31"/>
        <w:widowControl w:val="0"/>
        <w:spacing w:line="360" w:lineRule="auto"/>
        <w:ind w:firstLine="0"/>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（4）元器件密封、填料材质推荐采用氢化丁腈橡胶，也可选用厂家设计的适用于水基液压油的材质，需在样本中明确。</w:t>
      </w:r>
    </w:p>
    <w:p>
      <w:pPr>
        <w:pStyle w:val="31"/>
        <w:widowControl w:val="0"/>
        <w:spacing w:line="360" w:lineRule="auto"/>
        <w:ind w:firstLine="0"/>
        <w:rPr>
          <w:rFonts w:hint="eastAsia" w:ascii="宋体" w:hAnsi="宋体" w:cs="宋体"/>
          <w:b w:val="0"/>
          <w:bCs/>
          <w:color w:val="000000"/>
          <w:sz w:val="24"/>
          <w:szCs w:val="24"/>
          <w:lang w:val="en-US" w:eastAsia="zh-CN"/>
        </w:rPr>
      </w:pPr>
      <w:r>
        <w:rPr>
          <w:rFonts w:hint="eastAsia" w:ascii="宋体" w:hAnsi="宋体" w:cs="宋体"/>
          <w:b w:val="0"/>
          <w:bCs/>
          <w:color w:val="000000"/>
          <w:sz w:val="24"/>
          <w:szCs w:val="24"/>
          <w:lang w:val="en-US" w:eastAsia="zh-CN"/>
        </w:rPr>
        <w:t>（5）</w:t>
      </w:r>
      <w:r>
        <w:rPr>
          <w:rFonts w:hint="eastAsia" w:ascii="宋体" w:hAnsi="宋体" w:cs="宋体"/>
          <w:b w:val="0"/>
          <w:bCs/>
          <w:color w:val="000000"/>
          <w:sz w:val="24"/>
          <w:szCs w:val="24"/>
        </w:rPr>
        <w:t>★</w:t>
      </w:r>
      <w:r>
        <w:rPr>
          <w:rFonts w:hint="eastAsia" w:ascii="宋体" w:hAnsi="宋体" w:cs="宋体"/>
          <w:b w:val="0"/>
          <w:bCs/>
          <w:color w:val="000000"/>
          <w:sz w:val="24"/>
          <w:szCs w:val="24"/>
          <w:lang w:val="en-US" w:eastAsia="zh-CN"/>
        </w:rPr>
        <w:t>所有星号项必须满足，非星号项条款最多3条不满足。</w:t>
      </w:r>
    </w:p>
    <w:p>
      <w:pPr>
        <w:pStyle w:val="31"/>
        <w:widowControl w:val="0"/>
        <w:spacing w:line="360" w:lineRule="auto"/>
        <w:ind w:firstLine="0"/>
        <w:rPr>
          <w:rFonts w:hint="default" w:ascii="宋体" w:hAnsi="宋体" w:eastAsia="宋体" w:cs="宋体"/>
          <w:b w:val="0"/>
          <w:bCs/>
          <w:color w:val="000000"/>
          <w:sz w:val="24"/>
          <w:szCs w:val="24"/>
          <w:lang w:val="en-US" w:eastAsia="zh-CN"/>
        </w:rPr>
      </w:pPr>
      <w:r>
        <w:rPr>
          <w:rFonts w:hint="eastAsia" w:ascii="宋体" w:hAnsi="宋体" w:cs="宋体"/>
          <w:b w:val="0"/>
          <w:bCs/>
          <w:color w:val="000000"/>
          <w:sz w:val="24"/>
          <w:szCs w:val="24"/>
          <w:lang w:val="en-US" w:eastAsia="zh-CN"/>
        </w:rPr>
        <w:t>（6）</w:t>
      </w:r>
      <w:r>
        <w:rPr>
          <w:rFonts w:hint="eastAsia" w:ascii="宋体" w:hAnsi="宋体" w:cs="宋体"/>
          <w:b w:val="0"/>
          <w:bCs/>
          <w:color w:val="000000"/>
          <w:sz w:val="24"/>
          <w:szCs w:val="24"/>
        </w:rPr>
        <w:t>★</w:t>
      </w:r>
      <w:r>
        <w:rPr>
          <w:rFonts w:hint="eastAsia" w:ascii="宋体" w:hAnsi="宋体" w:cs="宋体"/>
          <w:b w:val="0"/>
          <w:bCs/>
          <w:color w:val="000000"/>
          <w:sz w:val="24"/>
          <w:szCs w:val="24"/>
          <w:lang w:val="en-US" w:eastAsia="zh-CN"/>
        </w:rPr>
        <w:t>投标时提供样本手册，证明满足技术要求。</w:t>
      </w:r>
    </w:p>
    <w:p>
      <w:pPr>
        <w:pStyle w:val="34"/>
        <w:numPr>
          <w:ilvl w:val="0"/>
          <w:numId w:val="0"/>
        </w:numPr>
        <w:spacing w:line="360" w:lineRule="auto"/>
        <w:ind w:right="12" w:rightChars="5"/>
        <w:rPr>
          <w:rFonts w:hint="default" w:ascii="宋体" w:hAnsi="宋体" w:cs="宋体"/>
          <w:bCs/>
          <w:color w:val="000000"/>
          <w:sz w:val="24"/>
          <w:szCs w:val="24"/>
          <w:lang w:val="en-US" w:eastAsia="zh-CN"/>
        </w:rPr>
      </w:pPr>
      <w:bookmarkStart w:id="0" w:name="_Toc340609100"/>
    </w:p>
    <w:p>
      <w:pPr>
        <w:pStyle w:val="31"/>
        <w:widowControl w:val="0"/>
        <w:numPr>
          <w:ilvl w:val="0"/>
          <w:numId w:val="0"/>
        </w:numPr>
        <w:spacing w:line="360" w:lineRule="auto"/>
        <w:ind w:leftChars="0"/>
        <w:rPr>
          <w:rFonts w:hint="eastAsia" w:ascii="宋体" w:hAnsi="宋体" w:eastAsia="宋体" w:cs="宋体"/>
          <w:b/>
          <w:color w:val="000000"/>
          <w:sz w:val="24"/>
          <w:szCs w:val="24"/>
          <w:lang w:val="en-US" w:eastAsia="zh-CN"/>
        </w:rPr>
      </w:pPr>
      <w:r>
        <w:rPr>
          <w:rFonts w:hint="eastAsia" w:ascii="宋体" w:hAnsi="宋体" w:cs="宋体"/>
          <w:b/>
          <w:color w:val="000000"/>
          <w:sz w:val="24"/>
          <w:szCs w:val="24"/>
          <w:lang w:val="en-US" w:eastAsia="zh-CN"/>
        </w:rPr>
        <w:t xml:space="preserve">5.11 </w:t>
      </w:r>
      <w:r>
        <w:rPr>
          <w:rFonts w:hint="eastAsia" w:ascii="宋体" w:hAnsi="宋体" w:eastAsia="宋体" w:cs="宋体"/>
          <w:b/>
          <w:color w:val="000000"/>
          <w:sz w:val="24"/>
          <w:szCs w:val="24"/>
          <w:lang w:val="en-US" w:eastAsia="zh-CN"/>
        </w:rPr>
        <w:t>低压流量计</w:t>
      </w:r>
      <w:r>
        <w:rPr>
          <w:rFonts w:hint="eastAsia" w:ascii="宋体" w:hAnsi="宋体" w:cs="宋体"/>
          <w:b/>
          <w:color w:val="000000"/>
          <w:sz w:val="24"/>
          <w:szCs w:val="24"/>
          <w:lang w:val="en-US" w:eastAsia="zh-CN"/>
        </w:rPr>
        <w:t>：</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1</w:t>
      </w:r>
      <w:r>
        <w:rPr>
          <w:rFonts w:hint="eastAsia" w:ascii="宋体" w:hAnsi="宋体" w:cs="宋体"/>
          <w:bCs/>
          <w:color w:val="000000"/>
          <w:sz w:val="24"/>
          <w:szCs w:val="24"/>
          <w:lang w:eastAsia="zh-CN"/>
        </w:rPr>
        <w:t>）</w:t>
      </w:r>
      <w:r>
        <w:rPr>
          <w:rFonts w:hint="eastAsia" w:ascii="宋体" w:hAnsi="宋体" w:eastAsia="宋体" w:cs="宋体"/>
          <w:bCs/>
          <w:color w:val="000000"/>
          <w:sz w:val="24"/>
          <w:szCs w:val="24"/>
          <w:highlight w:val="none"/>
        </w:rPr>
        <w:t>★</w:t>
      </w:r>
      <w:r>
        <w:rPr>
          <w:rFonts w:hint="eastAsia" w:ascii="宋体" w:hAnsi="宋体" w:cs="宋体"/>
          <w:i w:val="0"/>
          <w:iCs w:val="0"/>
          <w:color w:val="000000"/>
          <w:kern w:val="0"/>
          <w:sz w:val="22"/>
          <w:szCs w:val="22"/>
          <w:u w:val="none"/>
          <w:lang w:val="en-US" w:eastAsia="zh-CN" w:bidi="ar"/>
        </w:rPr>
        <w:t>流量：</w:t>
      </w:r>
      <w:r>
        <w:rPr>
          <w:rFonts w:hint="default" w:ascii="Times New Roman" w:hAnsi="Times New Roman" w:eastAsia="宋体" w:cs="Times New Roman"/>
          <w:i w:val="0"/>
          <w:iCs w:val="0"/>
          <w:color w:val="000000"/>
          <w:kern w:val="0"/>
          <w:sz w:val="22"/>
          <w:szCs w:val="22"/>
          <w:u w:val="none"/>
          <w:lang w:val="en-US" w:eastAsia="zh-CN" w:bidi="ar"/>
        </w:rPr>
        <w:t>0-1</w:t>
      </w:r>
      <w:r>
        <w:rPr>
          <w:rFonts w:hint="eastAsia"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L/MIN</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（2）</w:t>
      </w:r>
      <w:r>
        <w:rPr>
          <w:rFonts w:hint="eastAsia" w:ascii="宋体" w:hAnsi="宋体" w:eastAsia="宋体" w:cs="宋体"/>
          <w:bCs/>
          <w:color w:val="000000"/>
          <w:sz w:val="24"/>
          <w:szCs w:val="24"/>
          <w:highlight w:val="none"/>
        </w:rPr>
        <w:t>★</w:t>
      </w:r>
      <w:r>
        <w:rPr>
          <w:rFonts w:hint="eastAsia" w:cs="Times New Roman"/>
          <w:i w:val="0"/>
          <w:iCs w:val="0"/>
          <w:color w:val="000000"/>
          <w:kern w:val="0"/>
          <w:sz w:val="22"/>
          <w:szCs w:val="22"/>
          <w:u w:val="none"/>
          <w:lang w:val="en-US" w:eastAsia="zh-CN" w:bidi="ar"/>
        </w:rPr>
        <w:t>精度：</w:t>
      </w:r>
      <w:r>
        <w:rPr>
          <w:rFonts w:hint="default" w:ascii="Times New Roman" w:hAnsi="Times New Roman" w:eastAsia="宋体" w:cs="Times New Roman"/>
          <w:i w:val="0"/>
          <w:iCs w:val="0"/>
          <w:color w:val="000000"/>
          <w:kern w:val="0"/>
          <w:sz w:val="22"/>
          <w:szCs w:val="22"/>
          <w:u w:val="none"/>
          <w:lang w:val="en-US" w:eastAsia="zh-CN" w:bidi="ar"/>
        </w:rPr>
        <w:t>0.5</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3</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输出：</w:t>
      </w: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20mA</w:t>
      </w:r>
      <w:r>
        <w:rPr>
          <w:rFonts w:hint="eastAsia" w:cs="Times New Roman"/>
          <w:i w:val="0"/>
          <w:iCs w:val="0"/>
          <w:color w:val="000000"/>
          <w:kern w:val="0"/>
          <w:sz w:val="22"/>
          <w:szCs w:val="22"/>
          <w:u w:val="none"/>
          <w:lang w:val="en-US" w:eastAsia="zh-CN" w:bidi="ar"/>
        </w:rPr>
        <w:t xml:space="preserve"> HART</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（4）</w:t>
      </w:r>
      <w:r>
        <w:rPr>
          <w:rFonts w:hint="eastAsia" w:cs="Times New Roman"/>
          <w:i w:val="0"/>
          <w:iCs w:val="0"/>
          <w:color w:val="000000"/>
          <w:kern w:val="0"/>
          <w:sz w:val="22"/>
          <w:szCs w:val="22"/>
          <w:u w:val="none"/>
          <w:lang w:val="en-US" w:eastAsia="zh-CN" w:bidi="ar"/>
        </w:rPr>
        <w:t>电压：</w:t>
      </w:r>
      <w:r>
        <w:rPr>
          <w:rFonts w:hint="default" w:ascii="Times New Roman" w:hAnsi="Times New Roman" w:eastAsia="宋体" w:cs="Times New Roman"/>
          <w:i w:val="0"/>
          <w:iCs w:val="0"/>
          <w:color w:val="000000"/>
          <w:kern w:val="0"/>
          <w:sz w:val="22"/>
          <w:szCs w:val="22"/>
          <w:u w:val="none"/>
          <w:lang w:val="en-US" w:eastAsia="zh-CN" w:bidi="ar"/>
        </w:rPr>
        <w:t>DC24V</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（5）</w:t>
      </w:r>
      <w:r>
        <w:rPr>
          <w:rFonts w:hint="eastAsia" w:cs="Times New Roman"/>
          <w:i w:val="0"/>
          <w:iCs w:val="0"/>
          <w:color w:val="000000"/>
          <w:kern w:val="0"/>
          <w:sz w:val="22"/>
          <w:szCs w:val="22"/>
          <w:u w:val="none"/>
          <w:lang w:val="en-US" w:eastAsia="zh-CN" w:bidi="ar"/>
        </w:rPr>
        <w:t>显示：</w:t>
      </w:r>
      <w:r>
        <w:rPr>
          <w:rFonts w:hint="default" w:ascii="Times New Roman" w:hAnsi="Times New Roman" w:eastAsia="宋体" w:cs="Times New Roman"/>
          <w:i w:val="0"/>
          <w:iCs w:val="0"/>
          <w:color w:val="000000"/>
          <w:kern w:val="0"/>
          <w:sz w:val="22"/>
          <w:szCs w:val="22"/>
          <w:u w:val="none"/>
          <w:lang w:val="en-US" w:eastAsia="zh-CN" w:bidi="ar"/>
        </w:rPr>
        <w:t>LCD</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（6）</w:t>
      </w:r>
      <w:r>
        <w:rPr>
          <w:rFonts w:hint="eastAsia" w:cs="Times New Roman"/>
          <w:i w:val="0"/>
          <w:iCs w:val="0"/>
          <w:color w:val="000000"/>
          <w:kern w:val="0"/>
          <w:sz w:val="22"/>
          <w:szCs w:val="22"/>
          <w:u w:val="none"/>
          <w:lang w:val="en-US" w:eastAsia="zh-CN" w:bidi="ar"/>
        </w:rPr>
        <w:t>电气接口：</w:t>
      </w:r>
      <w:r>
        <w:rPr>
          <w:rFonts w:hint="default" w:ascii="Times New Roman" w:hAnsi="Times New Roman" w:eastAsia="宋体" w:cs="Times New Roman"/>
          <w:i w:val="0"/>
          <w:iCs w:val="0"/>
          <w:color w:val="000000"/>
          <w:kern w:val="0"/>
          <w:sz w:val="22"/>
          <w:szCs w:val="22"/>
          <w:u w:val="none"/>
          <w:lang w:val="en-US" w:eastAsia="zh-CN" w:bidi="ar"/>
        </w:rPr>
        <w:t>1/2"NPTF</w:t>
      </w:r>
    </w:p>
    <w:p>
      <w:pPr>
        <w:pStyle w:val="34"/>
        <w:numPr>
          <w:ilvl w:val="0"/>
          <w:numId w:val="0"/>
        </w:numPr>
        <w:spacing w:line="360" w:lineRule="auto"/>
        <w:ind w:right="12" w:rightChars="5"/>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（7）</w:t>
      </w:r>
      <w:r>
        <w:rPr>
          <w:rFonts w:hint="eastAsia" w:cs="Times New Roman"/>
          <w:i w:val="0"/>
          <w:iCs w:val="0"/>
          <w:color w:val="000000"/>
          <w:kern w:val="0"/>
          <w:sz w:val="22"/>
          <w:szCs w:val="22"/>
          <w:u w:val="none"/>
          <w:lang w:val="en-US" w:eastAsia="zh-CN" w:bidi="ar"/>
        </w:rPr>
        <w:t>适用介质：</w:t>
      </w:r>
      <w:r>
        <w:rPr>
          <w:rFonts w:hint="eastAsia" w:ascii="宋体" w:hAnsi="宋体" w:eastAsia="宋体" w:cs="宋体"/>
          <w:i w:val="0"/>
          <w:iCs w:val="0"/>
          <w:color w:val="000000"/>
          <w:kern w:val="0"/>
          <w:sz w:val="22"/>
          <w:szCs w:val="22"/>
          <w:u w:val="none"/>
          <w:lang w:val="en-US" w:eastAsia="zh-CN" w:bidi="ar"/>
        </w:rPr>
        <w:t>水基液压油</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（8）</w:t>
      </w:r>
      <w:r>
        <w:rPr>
          <w:rFonts w:hint="eastAsia" w:ascii="宋体" w:hAnsi="宋体" w:cs="宋体"/>
          <w:i w:val="0"/>
          <w:iCs w:val="0"/>
          <w:color w:val="000000"/>
          <w:kern w:val="0"/>
          <w:sz w:val="22"/>
          <w:szCs w:val="22"/>
          <w:u w:val="none"/>
          <w:lang w:val="en-US" w:eastAsia="zh-CN" w:bidi="ar"/>
        </w:rPr>
        <w:t>接液材质：</w:t>
      </w:r>
      <w:r>
        <w:rPr>
          <w:rFonts w:hint="default" w:ascii="Times New Roman" w:hAnsi="Times New Roman" w:eastAsia="宋体" w:cs="Times New Roman"/>
          <w:i w:val="0"/>
          <w:iCs w:val="0"/>
          <w:color w:val="000000"/>
          <w:kern w:val="0"/>
          <w:sz w:val="22"/>
          <w:szCs w:val="22"/>
          <w:u w:val="none"/>
          <w:lang w:val="en-US" w:eastAsia="zh-CN" w:bidi="ar"/>
        </w:rPr>
        <w:t>316</w:t>
      </w:r>
    </w:p>
    <w:p>
      <w:pPr>
        <w:pStyle w:val="34"/>
        <w:numPr>
          <w:ilvl w:val="0"/>
          <w:numId w:val="0"/>
        </w:numPr>
        <w:spacing w:line="360" w:lineRule="auto"/>
        <w:ind w:right="12" w:rightChars="5"/>
        <w:rPr>
          <w:rFonts w:hint="eastAsia"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（9）</w:t>
      </w:r>
      <w:r>
        <w:rPr>
          <w:rFonts w:hint="eastAsia" w:cs="Times New Roman"/>
          <w:i w:val="0"/>
          <w:iCs w:val="0"/>
          <w:color w:val="000000"/>
          <w:kern w:val="0"/>
          <w:sz w:val="22"/>
          <w:szCs w:val="22"/>
          <w:u w:val="none"/>
          <w:lang w:val="en-US" w:eastAsia="zh-CN" w:bidi="ar"/>
        </w:rPr>
        <w:t>外壳材质：不锈钢或铸铝防腐涂层</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（10）</w:t>
      </w:r>
      <w:r>
        <w:rPr>
          <w:rFonts w:hint="eastAsia" w:cs="Times New Roman"/>
          <w:i w:val="0"/>
          <w:iCs w:val="0"/>
          <w:color w:val="000000"/>
          <w:kern w:val="0"/>
          <w:sz w:val="22"/>
          <w:szCs w:val="22"/>
          <w:u w:val="none"/>
          <w:lang w:val="en-US" w:eastAsia="zh-CN" w:bidi="ar"/>
        </w:rPr>
        <w:t>防爆等级：</w:t>
      </w:r>
      <w:r>
        <w:rPr>
          <w:rFonts w:hint="default" w:ascii="Times New Roman" w:hAnsi="Times New Roman" w:eastAsia="宋体" w:cs="Times New Roman"/>
          <w:i w:val="0"/>
          <w:iCs w:val="0"/>
          <w:color w:val="000000"/>
          <w:kern w:val="0"/>
          <w:sz w:val="22"/>
          <w:szCs w:val="22"/>
          <w:u w:val="none"/>
          <w:lang w:val="en-US" w:eastAsia="zh-CN" w:bidi="ar"/>
        </w:rPr>
        <w:t>ExdⅡBT4</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（11）</w:t>
      </w:r>
      <w:r>
        <w:rPr>
          <w:rFonts w:hint="eastAsia" w:cs="Times New Roman"/>
          <w:i w:val="0"/>
          <w:iCs w:val="0"/>
          <w:color w:val="000000"/>
          <w:kern w:val="0"/>
          <w:sz w:val="22"/>
          <w:szCs w:val="22"/>
          <w:u w:val="none"/>
          <w:lang w:val="en-US" w:eastAsia="zh-CN" w:bidi="ar"/>
        </w:rPr>
        <w:t>防护等级：</w:t>
      </w:r>
      <w:r>
        <w:rPr>
          <w:rFonts w:hint="default" w:ascii="Times New Roman" w:hAnsi="Times New Roman" w:eastAsia="宋体" w:cs="Times New Roman"/>
          <w:i w:val="0"/>
          <w:iCs w:val="0"/>
          <w:color w:val="000000"/>
          <w:kern w:val="0"/>
          <w:sz w:val="22"/>
          <w:szCs w:val="22"/>
          <w:u w:val="none"/>
          <w:lang w:val="en-US" w:eastAsia="zh-CN" w:bidi="ar"/>
        </w:rPr>
        <w:t>IP56</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（12）</w:t>
      </w:r>
      <w:r>
        <w:rPr>
          <w:rFonts w:hint="eastAsia" w:ascii="宋体" w:hAnsi="宋体" w:eastAsia="宋体" w:cs="宋体"/>
          <w:bCs/>
          <w:color w:val="000000"/>
          <w:sz w:val="24"/>
          <w:szCs w:val="24"/>
          <w:highlight w:val="none"/>
        </w:rPr>
        <w:t>★</w:t>
      </w:r>
      <w:r>
        <w:rPr>
          <w:rFonts w:hint="eastAsia" w:cs="Times New Roman"/>
          <w:i w:val="0"/>
          <w:iCs w:val="0"/>
          <w:color w:val="000000"/>
          <w:kern w:val="0"/>
          <w:sz w:val="22"/>
          <w:szCs w:val="22"/>
          <w:u w:val="none"/>
          <w:lang w:val="en-US" w:eastAsia="zh-CN" w:bidi="ar"/>
        </w:rPr>
        <w:t>压力等级：</w:t>
      </w:r>
      <w:r>
        <w:rPr>
          <w:rFonts w:hint="default" w:ascii="Times New Roman" w:hAnsi="Times New Roman" w:eastAsia="宋体" w:cs="Times New Roman"/>
          <w:i w:val="0"/>
          <w:iCs w:val="0"/>
          <w:color w:val="000000"/>
          <w:kern w:val="0"/>
          <w:sz w:val="22"/>
          <w:szCs w:val="22"/>
          <w:u w:val="none"/>
          <w:lang w:val="en-US" w:eastAsia="zh-CN" w:bidi="ar"/>
        </w:rPr>
        <w:t>6000psi</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eastAsia" w:ascii="宋体" w:hAnsi="宋体" w:eastAsia="宋体" w:cs="宋体"/>
          <w:b w:val="0"/>
          <w:bCs/>
          <w:color w:val="000000"/>
          <w:sz w:val="24"/>
          <w:szCs w:val="24"/>
          <w:highlight w:val="none"/>
          <w:lang w:val="en-US" w:eastAsia="zh-CN"/>
        </w:rPr>
      </w:pPr>
      <w:r>
        <w:rPr>
          <w:rFonts w:hint="eastAsia" w:ascii="宋体" w:hAnsi="宋体" w:cs="宋体"/>
          <w:bCs/>
          <w:color w:val="000000"/>
          <w:sz w:val="24"/>
          <w:szCs w:val="24"/>
          <w:lang w:val="en-US" w:eastAsia="zh-CN"/>
        </w:rPr>
        <w:t>（13）</w:t>
      </w:r>
      <w:r>
        <w:rPr>
          <w:rFonts w:hint="eastAsia" w:ascii="宋体" w:hAnsi="宋体" w:eastAsia="宋体" w:cs="宋体"/>
          <w:bCs/>
          <w:color w:val="000000"/>
          <w:sz w:val="24"/>
          <w:szCs w:val="24"/>
          <w:highlight w:val="none"/>
        </w:rPr>
        <w:t>★</w:t>
      </w:r>
      <w:r>
        <w:rPr>
          <w:rFonts w:hint="eastAsia" w:ascii="宋体" w:hAnsi="宋体" w:eastAsia="宋体" w:cs="宋体"/>
          <w:b w:val="0"/>
          <w:bCs/>
          <w:color w:val="000000"/>
          <w:sz w:val="24"/>
          <w:szCs w:val="24"/>
          <w:highlight w:val="none"/>
          <w:lang w:val="en-US" w:eastAsia="zh-CN"/>
        </w:rPr>
        <w:t>适用介质：水基液压油</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eastAsia"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（14）</w:t>
      </w:r>
      <w:r>
        <w:rPr>
          <w:rFonts w:hint="eastAsia" w:ascii="宋体" w:hAnsi="宋体" w:eastAsia="宋体" w:cs="宋体"/>
          <w:bCs/>
          <w:color w:val="000000"/>
          <w:sz w:val="24"/>
          <w:szCs w:val="24"/>
          <w:highlight w:val="none"/>
        </w:rPr>
        <w:t>★</w:t>
      </w:r>
      <w:r>
        <w:rPr>
          <w:rFonts w:hint="eastAsia" w:ascii="宋体" w:hAnsi="宋体" w:cs="宋体"/>
          <w:b w:val="0"/>
          <w:bCs/>
          <w:color w:val="000000"/>
          <w:sz w:val="24"/>
          <w:szCs w:val="24"/>
          <w:highlight w:val="none"/>
          <w:lang w:val="en-US" w:eastAsia="zh-CN"/>
        </w:rPr>
        <w:t>随货提供船检证书</w:t>
      </w:r>
    </w:p>
    <w:p>
      <w:pPr>
        <w:pStyle w:val="31"/>
        <w:widowControl w:val="0"/>
        <w:numPr>
          <w:ilvl w:val="0"/>
          <w:numId w:val="0"/>
        </w:numPr>
        <w:spacing w:line="360" w:lineRule="auto"/>
        <w:ind w:leftChars="0"/>
        <w:rPr>
          <w:rFonts w:hint="eastAsia" w:ascii="宋体" w:hAnsi="宋体" w:eastAsia="宋体" w:cs="宋体"/>
          <w:b/>
          <w:color w:val="000000"/>
          <w:sz w:val="24"/>
          <w:szCs w:val="24"/>
          <w:lang w:val="en-US" w:eastAsia="zh-CN"/>
        </w:rPr>
      </w:pPr>
      <w:r>
        <w:rPr>
          <w:rFonts w:hint="eastAsia" w:ascii="宋体" w:hAnsi="宋体" w:cs="宋体"/>
          <w:b/>
          <w:color w:val="000000"/>
          <w:sz w:val="24"/>
          <w:szCs w:val="24"/>
          <w:lang w:val="en-US" w:eastAsia="zh-CN"/>
        </w:rPr>
        <w:t xml:space="preserve">5.12 </w:t>
      </w:r>
      <w:r>
        <w:rPr>
          <w:rFonts w:hint="eastAsia" w:ascii="宋体" w:hAnsi="宋体" w:eastAsia="宋体" w:cs="宋体"/>
          <w:b/>
          <w:color w:val="000000"/>
          <w:sz w:val="24"/>
          <w:szCs w:val="24"/>
          <w:lang w:val="en-US" w:eastAsia="zh-CN"/>
        </w:rPr>
        <w:t>高压流量计</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1</w:t>
      </w:r>
      <w:r>
        <w:rPr>
          <w:rFonts w:hint="eastAsia" w:ascii="宋体" w:hAnsi="宋体" w:cs="宋体"/>
          <w:bCs/>
          <w:color w:val="000000"/>
          <w:sz w:val="24"/>
          <w:szCs w:val="24"/>
          <w:lang w:eastAsia="zh-CN"/>
        </w:rPr>
        <w:t>）</w:t>
      </w:r>
      <w:r>
        <w:rPr>
          <w:rFonts w:hint="eastAsia" w:ascii="宋体" w:hAnsi="宋体" w:eastAsia="宋体" w:cs="宋体"/>
          <w:bCs/>
          <w:color w:val="000000"/>
          <w:sz w:val="24"/>
          <w:szCs w:val="24"/>
          <w:highlight w:val="none"/>
        </w:rPr>
        <w:t>★</w:t>
      </w:r>
      <w:r>
        <w:rPr>
          <w:rFonts w:hint="eastAsia" w:ascii="宋体" w:hAnsi="宋体" w:cs="宋体"/>
          <w:i w:val="0"/>
          <w:iCs w:val="0"/>
          <w:color w:val="000000"/>
          <w:kern w:val="0"/>
          <w:sz w:val="22"/>
          <w:szCs w:val="22"/>
          <w:u w:val="none"/>
          <w:lang w:val="en-US" w:eastAsia="zh-CN" w:bidi="ar"/>
        </w:rPr>
        <w:t>流量：</w:t>
      </w:r>
      <w:r>
        <w:rPr>
          <w:rFonts w:hint="default" w:ascii="Times New Roman" w:hAnsi="Times New Roman" w:eastAsia="宋体" w:cs="Times New Roman"/>
          <w:i w:val="0"/>
          <w:iCs w:val="0"/>
          <w:color w:val="000000"/>
          <w:kern w:val="0"/>
          <w:sz w:val="22"/>
          <w:szCs w:val="22"/>
          <w:u w:val="none"/>
          <w:lang w:val="en-US" w:eastAsia="zh-CN" w:bidi="ar"/>
        </w:rPr>
        <w:t>0-</w:t>
      </w:r>
      <w:r>
        <w:rPr>
          <w:rFonts w:hint="eastAsia" w:cs="Times New Roman"/>
          <w:i w:val="0"/>
          <w:iCs w:val="0"/>
          <w:color w:val="000000"/>
          <w:kern w:val="0"/>
          <w:sz w:val="22"/>
          <w:szCs w:val="22"/>
          <w:u w:val="none"/>
          <w:lang w:val="en-US" w:eastAsia="zh-CN" w:bidi="ar"/>
        </w:rPr>
        <w:t>10</w:t>
      </w:r>
      <w:r>
        <w:rPr>
          <w:rFonts w:hint="default" w:ascii="Times New Roman" w:hAnsi="Times New Roman" w:eastAsia="宋体" w:cs="Times New Roman"/>
          <w:i w:val="0"/>
          <w:iCs w:val="0"/>
          <w:color w:val="000000"/>
          <w:kern w:val="0"/>
          <w:sz w:val="22"/>
          <w:szCs w:val="22"/>
          <w:u w:val="none"/>
          <w:lang w:val="en-US" w:eastAsia="zh-CN" w:bidi="ar"/>
        </w:rPr>
        <w:t>L/MIN</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（2）</w:t>
      </w:r>
      <w:r>
        <w:rPr>
          <w:rFonts w:hint="eastAsia" w:ascii="宋体" w:hAnsi="宋体" w:eastAsia="宋体" w:cs="宋体"/>
          <w:bCs/>
          <w:color w:val="000000"/>
          <w:sz w:val="24"/>
          <w:szCs w:val="24"/>
          <w:highlight w:val="none"/>
        </w:rPr>
        <w:t>★</w:t>
      </w:r>
      <w:r>
        <w:rPr>
          <w:rFonts w:hint="eastAsia" w:cs="Times New Roman"/>
          <w:i w:val="0"/>
          <w:iCs w:val="0"/>
          <w:color w:val="000000"/>
          <w:kern w:val="0"/>
          <w:sz w:val="22"/>
          <w:szCs w:val="22"/>
          <w:u w:val="none"/>
          <w:lang w:val="en-US" w:eastAsia="zh-CN" w:bidi="ar"/>
        </w:rPr>
        <w:t>精度：</w:t>
      </w:r>
      <w:r>
        <w:rPr>
          <w:rFonts w:hint="default" w:ascii="Times New Roman" w:hAnsi="Times New Roman" w:eastAsia="宋体" w:cs="Times New Roman"/>
          <w:i w:val="0"/>
          <w:iCs w:val="0"/>
          <w:color w:val="000000"/>
          <w:kern w:val="0"/>
          <w:sz w:val="22"/>
          <w:szCs w:val="22"/>
          <w:u w:val="none"/>
          <w:lang w:val="en-US" w:eastAsia="zh-CN" w:bidi="ar"/>
        </w:rPr>
        <w:t>0.5</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3</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输出：</w:t>
      </w: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20mA</w:t>
      </w:r>
      <w:r>
        <w:rPr>
          <w:rFonts w:hint="eastAsia" w:cs="Times New Roman"/>
          <w:i w:val="0"/>
          <w:iCs w:val="0"/>
          <w:color w:val="000000"/>
          <w:kern w:val="0"/>
          <w:sz w:val="22"/>
          <w:szCs w:val="22"/>
          <w:u w:val="none"/>
          <w:lang w:val="en-US" w:eastAsia="zh-CN" w:bidi="ar"/>
        </w:rPr>
        <w:t xml:space="preserve"> HART</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4</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电压：</w:t>
      </w:r>
      <w:r>
        <w:rPr>
          <w:rFonts w:hint="default" w:ascii="Times New Roman" w:hAnsi="Times New Roman" w:eastAsia="宋体" w:cs="Times New Roman"/>
          <w:i w:val="0"/>
          <w:iCs w:val="0"/>
          <w:color w:val="000000"/>
          <w:kern w:val="0"/>
          <w:sz w:val="22"/>
          <w:szCs w:val="22"/>
          <w:u w:val="none"/>
          <w:lang w:val="en-US" w:eastAsia="zh-CN" w:bidi="ar"/>
        </w:rPr>
        <w:t>DC24V</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5</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显示：</w:t>
      </w:r>
      <w:r>
        <w:rPr>
          <w:rFonts w:hint="default" w:ascii="Times New Roman" w:hAnsi="Times New Roman" w:eastAsia="宋体" w:cs="Times New Roman"/>
          <w:i w:val="0"/>
          <w:iCs w:val="0"/>
          <w:color w:val="000000"/>
          <w:kern w:val="0"/>
          <w:sz w:val="22"/>
          <w:szCs w:val="22"/>
          <w:u w:val="none"/>
          <w:lang w:val="en-US" w:eastAsia="zh-CN" w:bidi="ar"/>
        </w:rPr>
        <w:t>LCD</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6</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电气接口：</w:t>
      </w:r>
      <w:r>
        <w:rPr>
          <w:rFonts w:hint="default" w:ascii="Times New Roman" w:hAnsi="Times New Roman" w:eastAsia="宋体" w:cs="Times New Roman"/>
          <w:i w:val="0"/>
          <w:iCs w:val="0"/>
          <w:color w:val="000000"/>
          <w:kern w:val="0"/>
          <w:sz w:val="22"/>
          <w:szCs w:val="22"/>
          <w:u w:val="none"/>
          <w:lang w:val="en-US" w:eastAsia="zh-CN" w:bidi="ar"/>
        </w:rPr>
        <w:t>1/2"NPTF</w:t>
      </w:r>
    </w:p>
    <w:p>
      <w:pPr>
        <w:pStyle w:val="34"/>
        <w:numPr>
          <w:ilvl w:val="0"/>
          <w:numId w:val="0"/>
        </w:numPr>
        <w:spacing w:line="360" w:lineRule="auto"/>
        <w:ind w:right="12" w:rightChars="5"/>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7</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适用介质：</w:t>
      </w:r>
      <w:r>
        <w:rPr>
          <w:rFonts w:hint="eastAsia" w:ascii="宋体" w:hAnsi="宋体" w:eastAsia="宋体" w:cs="宋体"/>
          <w:i w:val="0"/>
          <w:iCs w:val="0"/>
          <w:color w:val="000000"/>
          <w:kern w:val="0"/>
          <w:sz w:val="22"/>
          <w:szCs w:val="22"/>
          <w:u w:val="none"/>
          <w:lang w:val="en-US" w:eastAsia="zh-CN" w:bidi="ar"/>
        </w:rPr>
        <w:t>水基液压油</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8</w:t>
      </w:r>
      <w:r>
        <w:rPr>
          <w:rFonts w:hint="eastAsia" w:ascii="宋体" w:hAnsi="宋体" w:cs="宋体"/>
          <w:bCs/>
          <w:color w:val="000000"/>
          <w:sz w:val="24"/>
          <w:szCs w:val="24"/>
          <w:lang w:eastAsia="zh-CN"/>
        </w:rPr>
        <w:t>）</w:t>
      </w:r>
      <w:r>
        <w:rPr>
          <w:rFonts w:hint="eastAsia" w:ascii="宋体" w:hAnsi="宋体" w:cs="宋体"/>
          <w:i w:val="0"/>
          <w:iCs w:val="0"/>
          <w:color w:val="000000"/>
          <w:kern w:val="0"/>
          <w:sz w:val="22"/>
          <w:szCs w:val="22"/>
          <w:u w:val="none"/>
          <w:lang w:val="en-US" w:eastAsia="zh-CN" w:bidi="ar"/>
        </w:rPr>
        <w:t>接液材质：</w:t>
      </w:r>
      <w:r>
        <w:rPr>
          <w:rFonts w:hint="default" w:ascii="Times New Roman" w:hAnsi="Times New Roman" w:eastAsia="宋体" w:cs="Times New Roman"/>
          <w:i w:val="0"/>
          <w:iCs w:val="0"/>
          <w:color w:val="000000"/>
          <w:kern w:val="0"/>
          <w:sz w:val="22"/>
          <w:szCs w:val="22"/>
          <w:u w:val="none"/>
          <w:lang w:val="en-US" w:eastAsia="zh-CN" w:bidi="ar"/>
        </w:rPr>
        <w:t>316</w:t>
      </w:r>
    </w:p>
    <w:p>
      <w:pPr>
        <w:pStyle w:val="34"/>
        <w:numPr>
          <w:ilvl w:val="0"/>
          <w:numId w:val="0"/>
        </w:numPr>
        <w:spacing w:line="360" w:lineRule="auto"/>
        <w:ind w:right="12" w:rightChars="5"/>
        <w:rPr>
          <w:rFonts w:hint="eastAsia" w:cs="Times New Roman"/>
          <w:i w:val="0"/>
          <w:iCs w:val="0"/>
          <w:color w:val="000000"/>
          <w:kern w:val="0"/>
          <w:sz w:val="22"/>
          <w:szCs w:val="22"/>
          <w:u w:val="none"/>
          <w:lang w:val="en-US" w:eastAsia="zh-CN" w:bidi="ar"/>
        </w:rPr>
      </w:pP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9</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外壳材质：不锈钢或铸铝防腐涂层</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（10</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防爆等级：</w:t>
      </w:r>
      <w:r>
        <w:rPr>
          <w:rFonts w:hint="default" w:ascii="Times New Roman" w:hAnsi="Times New Roman" w:eastAsia="宋体" w:cs="Times New Roman"/>
          <w:i w:val="0"/>
          <w:iCs w:val="0"/>
          <w:color w:val="000000"/>
          <w:kern w:val="0"/>
          <w:sz w:val="22"/>
          <w:szCs w:val="22"/>
          <w:u w:val="none"/>
          <w:lang w:val="en-US" w:eastAsia="zh-CN" w:bidi="ar"/>
        </w:rPr>
        <w:t>ExdⅡBT4</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（11</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防护等级：</w:t>
      </w:r>
      <w:r>
        <w:rPr>
          <w:rFonts w:hint="default" w:ascii="Times New Roman" w:hAnsi="Times New Roman" w:eastAsia="宋体" w:cs="Times New Roman"/>
          <w:i w:val="0"/>
          <w:iCs w:val="0"/>
          <w:color w:val="000000"/>
          <w:kern w:val="0"/>
          <w:sz w:val="22"/>
          <w:szCs w:val="22"/>
          <w:u w:val="none"/>
          <w:lang w:val="en-US" w:eastAsia="zh-CN" w:bidi="ar"/>
        </w:rPr>
        <w:t>IP56</w:t>
      </w:r>
    </w:p>
    <w:p>
      <w:pPr>
        <w:pStyle w:val="34"/>
        <w:numPr>
          <w:ilvl w:val="0"/>
          <w:numId w:val="0"/>
        </w:numPr>
        <w:spacing w:line="360" w:lineRule="auto"/>
        <w:ind w:right="12" w:rightChars="5"/>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（12</w:t>
      </w:r>
      <w:r>
        <w:rPr>
          <w:rFonts w:hint="eastAsia" w:ascii="宋体" w:hAnsi="宋体" w:cs="宋体"/>
          <w:bCs/>
          <w:color w:val="000000"/>
          <w:sz w:val="24"/>
          <w:szCs w:val="24"/>
          <w:lang w:eastAsia="zh-CN"/>
        </w:rPr>
        <w:t>）</w:t>
      </w:r>
      <w:r>
        <w:rPr>
          <w:rFonts w:hint="eastAsia" w:cs="Times New Roman"/>
          <w:i w:val="0"/>
          <w:iCs w:val="0"/>
          <w:color w:val="000000"/>
          <w:kern w:val="0"/>
          <w:sz w:val="22"/>
          <w:szCs w:val="22"/>
          <w:u w:val="none"/>
          <w:lang w:val="en-US" w:eastAsia="zh-CN" w:bidi="ar"/>
        </w:rPr>
        <w:t>压力等级：10</w:t>
      </w:r>
      <w:r>
        <w:rPr>
          <w:rFonts w:hint="default" w:ascii="Times New Roman" w:hAnsi="Times New Roman" w:eastAsia="宋体" w:cs="Times New Roman"/>
          <w:i w:val="0"/>
          <w:iCs w:val="0"/>
          <w:color w:val="000000"/>
          <w:kern w:val="0"/>
          <w:sz w:val="22"/>
          <w:szCs w:val="22"/>
          <w:u w:val="none"/>
          <w:lang w:val="en-US" w:eastAsia="zh-CN" w:bidi="ar"/>
        </w:rPr>
        <w:t>000psi</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eastAsia" w:ascii="宋体" w:hAnsi="宋体" w:eastAsia="宋体" w:cs="宋体"/>
          <w:b w:val="0"/>
          <w:bCs/>
          <w:color w:val="000000"/>
          <w:sz w:val="24"/>
          <w:szCs w:val="24"/>
          <w:highlight w:val="none"/>
          <w:lang w:val="en-US" w:eastAsia="zh-CN"/>
        </w:rPr>
      </w:pPr>
      <w:r>
        <w:rPr>
          <w:rFonts w:hint="eastAsia" w:ascii="宋体" w:hAnsi="宋体" w:cs="宋体"/>
          <w:bCs/>
          <w:color w:val="000000"/>
          <w:sz w:val="24"/>
          <w:szCs w:val="24"/>
          <w:lang w:val="en-US" w:eastAsia="zh-CN"/>
        </w:rPr>
        <w:t>（13）</w:t>
      </w:r>
      <w:r>
        <w:rPr>
          <w:rFonts w:hint="eastAsia" w:ascii="宋体" w:hAnsi="宋体" w:eastAsia="宋体" w:cs="宋体"/>
          <w:bCs/>
          <w:color w:val="000000"/>
          <w:sz w:val="24"/>
          <w:szCs w:val="24"/>
          <w:highlight w:val="none"/>
        </w:rPr>
        <w:t>★</w:t>
      </w:r>
      <w:r>
        <w:rPr>
          <w:rFonts w:hint="eastAsia" w:ascii="宋体" w:hAnsi="宋体" w:eastAsia="宋体" w:cs="宋体"/>
          <w:b w:val="0"/>
          <w:bCs/>
          <w:color w:val="000000"/>
          <w:sz w:val="24"/>
          <w:szCs w:val="24"/>
          <w:highlight w:val="none"/>
          <w:lang w:val="en-US" w:eastAsia="zh-CN"/>
        </w:rPr>
        <w:t>适用介质：水基液压油</w:t>
      </w:r>
    </w:p>
    <w:p>
      <w:pPr>
        <w:pStyle w:val="31"/>
        <w:keepNext w:val="0"/>
        <w:keepLines w:val="0"/>
        <w:pageBreakBefore w:val="0"/>
        <w:widowControl w:val="0"/>
        <w:numPr>
          <w:ilvl w:val="0"/>
          <w:numId w:val="0"/>
        </w:numPr>
        <w:kinsoku/>
        <w:wordWrap/>
        <w:overflowPunct/>
        <w:topLinePunct w:val="0"/>
        <w:bidi w:val="0"/>
        <w:spacing w:line="360" w:lineRule="auto"/>
        <w:ind w:leftChars="0"/>
        <w:textAlignment w:val="auto"/>
        <w:rPr>
          <w:rFonts w:hint="eastAsia" w:ascii="Times New Roman" w:hAnsi="Times New Roman" w:eastAsia="宋体" w:cs="Times New Roman"/>
          <w:i w:val="0"/>
          <w:iCs w:val="0"/>
          <w:color w:val="000000"/>
          <w:kern w:val="0"/>
          <w:sz w:val="22"/>
          <w:szCs w:val="22"/>
          <w:u w:val="none"/>
          <w:lang w:val="en-US" w:eastAsia="zh-CN" w:bidi="ar"/>
        </w:rPr>
      </w:pPr>
      <w:r>
        <w:rPr>
          <w:rFonts w:hint="eastAsia" w:ascii="宋体" w:hAnsi="宋体" w:cs="宋体"/>
          <w:bCs/>
          <w:color w:val="000000"/>
          <w:sz w:val="24"/>
          <w:szCs w:val="24"/>
          <w:lang w:val="en-US" w:eastAsia="zh-CN"/>
        </w:rPr>
        <w:t>（14）</w:t>
      </w:r>
      <w:r>
        <w:rPr>
          <w:rFonts w:hint="eastAsia" w:ascii="宋体" w:hAnsi="宋体" w:eastAsia="宋体" w:cs="宋体"/>
          <w:bCs/>
          <w:color w:val="000000"/>
          <w:sz w:val="24"/>
          <w:szCs w:val="24"/>
          <w:highlight w:val="none"/>
        </w:rPr>
        <w:t>★</w:t>
      </w:r>
      <w:r>
        <w:rPr>
          <w:rFonts w:hint="eastAsia" w:ascii="宋体" w:hAnsi="宋体" w:cs="宋体"/>
          <w:b w:val="0"/>
          <w:bCs/>
          <w:color w:val="000000"/>
          <w:sz w:val="24"/>
          <w:szCs w:val="24"/>
          <w:highlight w:val="none"/>
          <w:lang w:val="en-US" w:eastAsia="zh-CN"/>
        </w:rPr>
        <w:t>随货提供船检证书</w:t>
      </w:r>
    </w:p>
    <w:p>
      <w:pPr>
        <w:pStyle w:val="34"/>
        <w:spacing w:line="360" w:lineRule="auto"/>
        <w:ind w:right="12"/>
        <w:rPr>
          <w:rFonts w:hint="default" w:ascii="宋体" w:hAnsi="宋体" w:cs="宋体"/>
          <w:b/>
          <w:bCs w:val="0"/>
          <w:color w:val="000000"/>
          <w:sz w:val="24"/>
          <w:szCs w:val="24"/>
          <w:lang w:val="en-US" w:eastAsia="zh-CN"/>
        </w:rPr>
      </w:pPr>
      <w:r>
        <w:rPr>
          <w:rFonts w:hint="eastAsia" w:ascii="宋体" w:hAnsi="宋体" w:cs="宋体"/>
          <w:b/>
          <w:bCs w:val="0"/>
          <w:color w:val="000000"/>
          <w:sz w:val="24"/>
          <w:szCs w:val="24"/>
          <w:lang w:val="en-US" w:eastAsia="zh-CN"/>
        </w:rPr>
        <w:t xml:space="preserve">5.13 </w:t>
      </w:r>
      <w:r>
        <w:rPr>
          <w:rFonts w:hint="eastAsia" w:ascii="宋体" w:hAnsi="宋体" w:cs="宋体"/>
          <w:b/>
          <w:bCs w:val="0"/>
          <w:color w:val="000000"/>
          <w:sz w:val="24"/>
          <w:szCs w:val="24"/>
          <w:lang w:eastAsia="zh-CN"/>
        </w:rPr>
        <w:t>技术要求</w:t>
      </w:r>
      <w:r>
        <w:rPr>
          <w:rFonts w:hint="eastAsia" w:ascii="宋体" w:hAnsi="宋体" w:cs="宋体"/>
          <w:b/>
          <w:bCs w:val="0"/>
          <w:color w:val="000000"/>
          <w:sz w:val="24"/>
          <w:szCs w:val="24"/>
          <w:lang w:val="en-US" w:eastAsia="zh-CN"/>
        </w:rPr>
        <w:t>满足</w:t>
      </w:r>
      <w:r>
        <w:rPr>
          <w:rFonts w:hint="eastAsia" w:ascii="宋体" w:hAnsi="宋体" w:cs="宋体"/>
          <w:b/>
          <w:bCs w:val="0"/>
          <w:color w:val="000000"/>
          <w:sz w:val="24"/>
          <w:szCs w:val="24"/>
          <w:lang w:eastAsia="zh-CN"/>
        </w:rPr>
        <w:t>表格中规格型号</w:t>
      </w:r>
      <w:r>
        <w:rPr>
          <w:rFonts w:hint="eastAsia" w:ascii="宋体" w:hAnsi="宋体" w:cs="宋体"/>
          <w:b/>
          <w:bCs w:val="0"/>
          <w:color w:val="000000"/>
          <w:sz w:val="24"/>
          <w:szCs w:val="24"/>
          <w:lang w:val="en-US" w:eastAsia="zh-CN"/>
        </w:rPr>
        <w:t>中规定的参数要求，仅接口不满足可由厂家配置转换接头达到要求，如有偏离应澄清，或在投标书中明确。</w:t>
      </w:r>
    </w:p>
    <w:bookmarkEnd w:id="0"/>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六、检测和试验</w:t>
      </w:r>
    </w:p>
    <w:p>
      <w:pPr>
        <w:pStyle w:val="7"/>
        <w:spacing w:line="360" w:lineRule="auto"/>
        <w:ind w:left="220" w:right="122" w:firstLine="482"/>
        <w:rPr>
          <w:rFonts w:hint="eastAsia" w:ascii="宋体" w:hAnsi="宋体" w:eastAsia="宋体" w:cs="宋体"/>
          <w:bCs/>
          <w:color w:val="000000"/>
          <w:sz w:val="24"/>
          <w:szCs w:val="24"/>
          <w:lang w:val="en-US" w:eastAsia="zh-CN" w:bidi="ar-SA"/>
        </w:rPr>
      </w:pPr>
      <w:r>
        <w:rPr>
          <w:rFonts w:hint="eastAsia" w:ascii="宋体" w:hAnsi="宋体" w:eastAsia="宋体" w:cs="宋体"/>
          <w:bCs/>
          <w:color w:val="000000"/>
          <w:sz w:val="24"/>
          <w:szCs w:val="24"/>
          <w:lang w:val="en-US" w:eastAsia="zh-CN" w:bidi="ar-SA"/>
        </w:rPr>
        <w:t>1、交货时提供出材质证明文件、厂检验报告、合格证等，具体参加表格中备注部分。</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七、标识、包装、运输和存储</w:t>
      </w:r>
    </w:p>
    <w:p>
      <w:pPr>
        <w:pStyle w:val="4"/>
        <w:rPr>
          <w:rFonts w:hint="eastAsia" w:ascii="宋体" w:hAnsi="宋体" w:eastAsia="宋体" w:cs="宋体"/>
          <w:b/>
          <w:bCs w:val="0"/>
          <w:i w:val="0"/>
          <w:iCs w:val="0"/>
          <w:color w:val="000000"/>
          <w:sz w:val="24"/>
          <w:szCs w:val="24"/>
          <w:lang w:val="en-US" w:eastAsia="zh-CN" w:bidi="ar-SA"/>
        </w:rPr>
      </w:pPr>
      <w:r>
        <w:rPr>
          <w:rFonts w:hint="eastAsia" w:ascii="宋体" w:hAnsi="宋体" w:cs="宋体"/>
          <w:b/>
          <w:bCs w:val="0"/>
          <w:i w:val="0"/>
          <w:iCs w:val="0"/>
          <w:color w:val="000000"/>
          <w:sz w:val="24"/>
          <w:szCs w:val="24"/>
          <w:lang w:val="en-US" w:eastAsia="zh-CN" w:bidi="ar-SA"/>
        </w:rPr>
        <w:t xml:space="preserve">7.1 </w:t>
      </w:r>
      <w:r>
        <w:rPr>
          <w:rFonts w:hint="eastAsia" w:ascii="宋体" w:hAnsi="宋体" w:eastAsia="宋体" w:cs="宋体"/>
          <w:b/>
          <w:bCs w:val="0"/>
          <w:i w:val="0"/>
          <w:iCs w:val="0"/>
          <w:color w:val="000000"/>
          <w:sz w:val="24"/>
          <w:szCs w:val="24"/>
          <w:lang w:val="en-US" w:eastAsia="zh-CN" w:bidi="ar-SA"/>
        </w:rPr>
        <w:t xml:space="preserve">产品标识 </w:t>
      </w:r>
    </w:p>
    <w:p>
      <w:pPr>
        <w:pStyle w:val="4"/>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卖方应根据货物特点和装卸、运输的不同要求，在包装箱显著位置标注“轻放”、“勿倒置”、“防雨”、“防震”、“防潮”等字样以及相应的标记图案。凡重达0.5吨或以上、或体积达到1立方米或以上的包装或裸装货物，应另行标明“重心”和“吊装点”。 如果在一个包装箱内同时装有两件以上不同货物，卖方应用显著标识注明主要货物的名称及货号。</w:t>
      </w:r>
    </w:p>
    <w:p>
      <w:pPr>
        <w:pStyle w:val="4"/>
        <w:rPr>
          <w:rFonts w:hint="eastAsia" w:ascii="宋体" w:hAnsi="宋体" w:eastAsia="宋体" w:cs="宋体"/>
          <w:b/>
          <w:bCs w:val="0"/>
          <w:i w:val="0"/>
          <w:iCs w:val="0"/>
          <w:color w:val="000000"/>
          <w:sz w:val="24"/>
          <w:szCs w:val="24"/>
          <w:lang w:val="en-US" w:eastAsia="zh-CN" w:bidi="ar-SA"/>
        </w:rPr>
      </w:pPr>
      <w:r>
        <w:rPr>
          <w:rFonts w:hint="eastAsia" w:ascii="宋体" w:hAnsi="宋体" w:cs="宋体"/>
          <w:b/>
          <w:bCs w:val="0"/>
          <w:i w:val="0"/>
          <w:iCs w:val="0"/>
          <w:color w:val="000000"/>
          <w:sz w:val="24"/>
          <w:szCs w:val="24"/>
          <w:lang w:val="en-US" w:eastAsia="zh-CN" w:bidi="ar-SA"/>
        </w:rPr>
        <w:t>7.2</w:t>
      </w:r>
      <w:r>
        <w:rPr>
          <w:rFonts w:hint="eastAsia" w:ascii="宋体" w:hAnsi="宋体" w:eastAsia="宋体" w:cs="宋体"/>
          <w:b/>
          <w:bCs w:val="0"/>
          <w:i w:val="0"/>
          <w:iCs w:val="0"/>
          <w:color w:val="000000"/>
          <w:sz w:val="24"/>
          <w:szCs w:val="24"/>
          <w:lang w:val="en-US" w:eastAsia="zh-CN" w:bidi="ar-SA"/>
        </w:rPr>
        <w:t xml:space="preserve"> 产品包装</w:t>
      </w:r>
    </w:p>
    <w:p>
      <w:pPr>
        <w:pStyle w:val="4"/>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外包装适合长途运输，包装上将注明合同号、收件人、设备名称、箱号/件号、毛重/净重（公斤）、尺码（长×宽×高，以厘米表示）、目的地等内容</w:t>
      </w:r>
      <w:r>
        <w:rPr>
          <w:rFonts w:hint="eastAsia" w:ascii="宋体" w:hAnsi="宋体" w:cs="宋体"/>
          <w:b w:val="0"/>
          <w:bCs/>
          <w:i w:val="0"/>
          <w:iCs w:val="0"/>
          <w:color w:val="000000"/>
          <w:sz w:val="24"/>
          <w:szCs w:val="24"/>
          <w:lang w:val="en-US" w:eastAsia="zh-CN" w:bidi="ar-SA"/>
        </w:rPr>
        <w:t>。</w:t>
      </w:r>
    </w:p>
    <w:p>
      <w:pPr>
        <w:pStyle w:val="4"/>
        <w:rPr>
          <w:rFonts w:hint="eastAsia" w:ascii="宋体" w:hAnsi="宋体" w:eastAsia="宋体" w:cs="宋体"/>
          <w:b/>
          <w:bCs w:val="0"/>
          <w:i w:val="0"/>
          <w:iCs w:val="0"/>
          <w:color w:val="000000"/>
          <w:sz w:val="24"/>
          <w:szCs w:val="24"/>
          <w:lang w:val="en-US" w:eastAsia="zh-CN" w:bidi="ar-SA"/>
        </w:rPr>
      </w:pPr>
      <w:r>
        <w:rPr>
          <w:rFonts w:hint="eastAsia" w:ascii="宋体" w:hAnsi="宋体" w:cs="宋体"/>
          <w:b/>
          <w:bCs w:val="0"/>
          <w:i w:val="0"/>
          <w:iCs w:val="0"/>
          <w:color w:val="000000"/>
          <w:sz w:val="24"/>
          <w:szCs w:val="24"/>
          <w:lang w:val="en-US" w:eastAsia="zh-CN" w:bidi="ar-SA"/>
        </w:rPr>
        <w:t>7.3</w:t>
      </w:r>
      <w:r>
        <w:rPr>
          <w:rFonts w:hint="eastAsia" w:ascii="宋体" w:hAnsi="宋体" w:eastAsia="宋体" w:cs="宋体"/>
          <w:b/>
          <w:bCs w:val="0"/>
          <w:i w:val="0"/>
          <w:iCs w:val="0"/>
          <w:color w:val="000000"/>
          <w:sz w:val="24"/>
          <w:szCs w:val="24"/>
          <w:lang w:val="en-US" w:eastAsia="zh-CN" w:bidi="ar-SA"/>
        </w:rPr>
        <w:t xml:space="preserve"> 产品运输</w:t>
      </w:r>
    </w:p>
    <w:p>
      <w:pPr>
        <w:pStyle w:val="4"/>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运输过程中需做好相应的捆扎固定，避免运输过程中损伤设备。</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八、技术文件</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投标时提供纸质或电子版样本手册、说明书。</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九、工作进度、监造和现场验收</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原材料需满足所有技术要求、技术合同、澄清纪要（或邮件）、随货资料要求。</w:t>
      </w:r>
    </w:p>
    <w:p>
      <w:pPr>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注： 1、清单中未包含的原材料参照相近物资原则随货提交资料。</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十、技术服务与售后服务</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eastAsia="宋体" w:cs="宋体"/>
          <w:b w:val="0"/>
          <w:bCs/>
          <w:i w:val="0"/>
          <w:iCs w:val="0"/>
          <w:color w:val="000000"/>
          <w:sz w:val="24"/>
          <w:szCs w:val="24"/>
          <w:lang w:val="en-US" w:eastAsia="zh-CN" w:bidi="ar-SA"/>
        </w:rPr>
        <w:t>附件：元器件所需附件（合格证，证书等 ）具体详见需求一览表</w:t>
      </w:r>
      <w:r>
        <w:rPr>
          <w:rFonts w:hint="eastAsia" w:ascii="宋体" w:hAnsi="宋体" w:cs="宋体"/>
          <w:b w:val="0"/>
          <w:bCs/>
          <w:i w:val="0"/>
          <w:iCs w:val="0"/>
          <w:color w:val="000000"/>
          <w:sz w:val="24"/>
          <w:szCs w:val="24"/>
          <w:lang w:val="en-US" w:eastAsia="zh-CN" w:bidi="ar-SA"/>
        </w:rPr>
        <w:t>。</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十一、质量保证</w:t>
      </w:r>
    </w:p>
    <w:p>
      <w:pPr>
        <w:ind w:firstLine="480" w:firstLineChars="200"/>
        <w:rPr>
          <w:rFonts w:hint="eastAsia" w:ascii="宋体" w:hAnsi="宋体" w:eastAsia="宋体" w:cs="宋体"/>
          <w:b w:val="0"/>
          <w:bCs/>
          <w:i w:val="0"/>
          <w:iCs w:val="0"/>
          <w:color w:val="000000"/>
          <w:sz w:val="24"/>
          <w:szCs w:val="24"/>
          <w:lang w:val="en-US" w:eastAsia="zh-CN" w:bidi="ar-SA"/>
        </w:rPr>
      </w:pPr>
      <w:bookmarkStart w:id="1" w:name="_Toc13248931"/>
      <w:bookmarkStart w:id="2" w:name="_Toc13249328"/>
      <w:r>
        <w:rPr>
          <w:rFonts w:hint="eastAsia" w:ascii="宋体" w:hAnsi="宋体" w:cs="宋体"/>
          <w:b w:val="0"/>
          <w:bCs/>
          <w:i w:val="0"/>
          <w:iCs w:val="0"/>
          <w:color w:val="000000"/>
          <w:sz w:val="24"/>
          <w:szCs w:val="24"/>
          <w:lang w:val="en-US" w:eastAsia="zh-CN" w:bidi="ar-SA"/>
        </w:rPr>
        <w:t>（1）</w:t>
      </w:r>
      <w:r>
        <w:rPr>
          <w:rFonts w:hint="eastAsia" w:ascii="宋体" w:hAnsi="宋体" w:eastAsia="宋体" w:cs="宋体"/>
          <w:b w:val="0"/>
          <w:bCs/>
          <w:i w:val="0"/>
          <w:iCs w:val="0"/>
          <w:color w:val="000000"/>
          <w:sz w:val="24"/>
          <w:szCs w:val="24"/>
          <w:lang w:val="en-US" w:eastAsia="zh-CN" w:bidi="ar-SA"/>
        </w:rPr>
        <w:t>在产品质量保障期内，如有产品质量问题，需及时免费更换或修复相关产品，并提供相关技术支持。如在使用过程中同类质量问题发生3次以上，或者出现无法解决的技术问题，需要对产品进行整改或更换且我公司有权终止合同。</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（2）</w:t>
      </w:r>
      <w:r>
        <w:rPr>
          <w:rFonts w:hint="eastAsia" w:ascii="宋体" w:hAnsi="宋体" w:eastAsia="宋体" w:cs="宋体"/>
          <w:b w:val="0"/>
          <w:bCs/>
          <w:i w:val="0"/>
          <w:iCs w:val="0"/>
          <w:color w:val="000000"/>
          <w:sz w:val="24"/>
          <w:szCs w:val="24"/>
          <w:lang w:val="en-US" w:eastAsia="zh-CN" w:bidi="ar-SA"/>
        </w:rPr>
        <w:t>质保期不超过物资验收合格后24个月。具体以实际订单为准 。</w:t>
      </w:r>
    </w:p>
    <w:p>
      <w:pPr>
        <w:ind w:firstLine="480" w:firstLineChars="200"/>
        <w:rPr>
          <w:rFonts w:hint="eastAsia" w:ascii="宋体" w:hAnsi="宋体" w:eastAsia="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（3）</w:t>
      </w:r>
      <w:r>
        <w:rPr>
          <w:rFonts w:hint="eastAsia" w:ascii="宋体" w:hAnsi="宋体" w:eastAsia="宋体" w:cs="宋体"/>
          <w:b w:val="0"/>
          <w:bCs/>
          <w:i w:val="0"/>
          <w:iCs w:val="0"/>
          <w:color w:val="000000"/>
          <w:sz w:val="24"/>
          <w:szCs w:val="24"/>
          <w:lang w:val="en-US" w:eastAsia="zh-CN" w:bidi="ar-SA"/>
        </w:rPr>
        <w:t>产品在质保期以内发生1次质量问题，卖方需及时免费修复相关产品，并提供相关技术支持并出具分析报告。同类质量问题发生2次以上，卖方需要对产品进行免费更换。出现3次，卖方需要对出现问题的器件进行3倍合同价赔偿，并且买方有权终止合同</w:t>
      </w:r>
      <w:r>
        <w:rPr>
          <w:rFonts w:hint="eastAsia" w:ascii="宋体" w:hAnsi="宋体" w:cs="宋体"/>
          <w:b w:val="0"/>
          <w:bCs/>
          <w:i w:val="0"/>
          <w:iCs w:val="0"/>
          <w:color w:val="000000"/>
          <w:sz w:val="24"/>
          <w:szCs w:val="24"/>
          <w:lang w:val="en-US" w:eastAsia="zh-CN" w:bidi="ar-SA"/>
        </w:rPr>
        <w:t>。</w:t>
      </w:r>
    </w:p>
    <w:p>
      <w:pPr>
        <w:pStyle w:val="21"/>
        <w:spacing w:before="120" w:after="120" w:line="360" w:lineRule="auto"/>
        <w:outlineLvl w:val="0"/>
        <w:rPr>
          <w:rFonts w:hint="eastAsia" w:ascii="微软雅黑" w:hAnsi="微软雅黑" w:eastAsia="微软雅黑" w:cs="微软雅黑"/>
          <w:bCs/>
          <w:color w:val="auto"/>
          <w:sz w:val="32"/>
          <w:szCs w:val="32"/>
        </w:rPr>
      </w:pPr>
      <w:r>
        <w:rPr>
          <w:rFonts w:hint="eastAsia" w:ascii="微软雅黑" w:hAnsi="微软雅黑" w:eastAsia="微软雅黑" w:cs="微软雅黑"/>
          <w:bCs/>
          <w:color w:val="auto"/>
          <w:sz w:val="32"/>
          <w:szCs w:val="32"/>
        </w:rPr>
        <w:t>十二、其他要求</w:t>
      </w:r>
      <w:bookmarkEnd w:id="1"/>
      <w:bookmarkEnd w:id="2"/>
      <w:r>
        <w:rPr>
          <w:rFonts w:hint="eastAsia" w:ascii="微软雅黑" w:hAnsi="微软雅黑" w:eastAsia="微软雅黑" w:cs="微软雅黑"/>
          <w:bCs/>
          <w:color w:val="auto"/>
          <w:sz w:val="32"/>
          <w:szCs w:val="32"/>
        </w:rPr>
        <w:t>（备货要求）</w:t>
      </w:r>
    </w:p>
    <w:p>
      <w:pPr>
        <w:ind w:firstLine="480" w:firstLineChars="200"/>
        <w:rPr>
          <w:rFonts w:hint="eastAsia" w:ascii="宋体" w:hAnsi="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 xml:space="preserve">（1）入场检验地点：天津市滨海新区临港经济区渤海23路8号海油发展天津海洋装备智能制造基地电气制造厂；     </w:t>
      </w:r>
    </w:p>
    <w:p>
      <w:pPr>
        <w:ind w:firstLine="480" w:firstLineChars="200"/>
        <w:rPr>
          <w:rFonts w:hint="eastAsia" w:ascii="宋体" w:hAnsi="宋体" w:cs="宋体"/>
          <w:b w:val="0"/>
          <w:bCs/>
          <w:i w:val="0"/>
          <w:iCs w:val="0"/>
          <w:color w:val="000000"/>
          <w:sz w:val="24"/>
          <w:szCs w:val="24"/>
          <w:lang w:val="en-US" w:eastAsia="zh-CN" w:bidi="ar-SA"/>
        </w:rPr>
      </w:pPr>
      <w:r>
        <w:rPr>
          <w:rFonts w:hint="eastAsia" w:ascii="宋体" w:hAnsi="宋体" w:cs="宋体"/>
          <w:b w:val="0"/>
          <w:bCs/>
          <w:i w:val="0"/>
          <w:iCs w:val="0"/>
          <w:color w:val="000000"/>
          <w:sz w:val="24"/>
          <w:szCs w:val="24"/>
          <w:lang w:val="en-US" w:eastAsia="zh-CN" w:bidi="ar-SA"/>
        </w:rPr>
        <w:t>（2）</w:t>
      </w:r>
      <w:bookmarkStart w:id="3" w:name="_GoBack"/>
      <w:bookmarkEnd w:id="3"/>
      <w:r>
        <w:rPr>
          <w:rFonts w:hint="eastAsia" w:ascii="宋体" w:hAnsi="宋体" w:cs="宋体"/>
          <w:b w:val="0"/>
          <w:bCs/>
          <w:i w:val="0"/>
          <w:iCs w:val="0"/>
          <w:color w:val="000000"/>
          <w:sz w:val="24"/>
          <w:szCs w:val="24"/>
          <w:lang w:val="en-US" w:eastAsia="zh-CN" w:bidi="ar-SA"/>
        </w:rPr>
        <w:t>交货期：合同签订后1个月；</w:t>
      </w:r>
    </w:p>
    <w:p>
      <w:pPr>
        <w:ind w:firstLine="480" w:firstLineChars="200"/>
        <w:rPr>
          <w:rFonts w:hint="eastAsia" w:ascii="宋体" w:hAnsi="宋体" w:cs="宋体"/>
          <w:b w:val="0"/>
          <w:bCs/>
          <w:i w:val="0"/>
          <w:iCs w:val="0"/>
          <w:color w:val="000000"/>
          <w:sz w:val="24"/>
          <w:szCs w:val="24"/>
          <w:lang w:val="en-US" w:eastAsia="zh-CN" w:bidi="ar-SA"/>
        </w:rPr>
      </w:pPr>
    </w:p>
    <w:p>
      <w:pPr>
        <w:rPr>
          <w:rFonts w:hint="eastAsia" w:ascii="宋体" w:hAnsi="宋体" w:cs="宋体"/>
        </w:rPr>
      </w:pPr>
      <w:r>
        <w:rPr>
          <w:rFonts w:hint="eastAsia" w:ascii="宋体" w:hAnsi="宋体" w:cs="宋体"/>
        </w:rPr>
        <w:br w:type="page"/>
      </w:r>
    </w:p>
    <w:p>
      <w:pPr>
        <w:rPr>
          <w:rFonts w:hint="eastAsia" w:ascii="宋体" w:hAnsi="宋体" w:cs="宋体"/>
          <w:b/>
        </w:rPr>
      </w:pPr>
      <w:r>
        <w:rPr>
          <w:rFonts w:hint="eastAsia" w:ascii="宋体" w:hAnsi="宋体" w:cs="宋体"/>
          <w:b/>
        </w:rPr>
        <w:t>供应商需提供下表原材料发货资料清单中相关证明</w:t>
      </w:r>
    </w:p>
    <w:tbl>
      <w:tblPr>
        <w:tblStyle w:val="13"/>
        <w:tblW w:w="4995" w:type="pct"/>
        <w:tblInd w:w="0" w:type="dxa"/>
        <w:tblLayout w:type="autofit"/>
        <w:tblCellMar>
          <w:top w:w="0" w:type="dxa"/>
          <w:left w:w="108" w:type="dxa"/>
          <w:bottom w:w="0" w:type="dxa"/>
          <w:right w:w="108" w:type="dxa"/>
        </w:tblCellMar>
      </w:tblPr>
      <w:tblGrid>
        <w:gridCol w:w="493"/>
        <w:gridCol w:w="754"/>
        <w:gridCol w:w="1279"/>
        <w:gridCol w:w="493"/>
        <w:gridCol w:w="767"/>
        <w:gridCol w:w="491"/>
        <w:gridCol w:w="491"/>
        <w:gridCol w:w="491"/>
        <w:gridCol w:w="491"/>
        <w:gridCol w:w="491"/>
        <w:gridCol w:w="491"/>
        <w:gridCol w:w="491"/>
        <w:gridCol w:w="491"/>
        <w:gridCol w:w="799"/>
      </w:tblGrid>
      <w:tr>
        <w:tblPrEx>
          <w:tblCellMar>
            <w:top w:w="0" w:type="dxa"/>
            <w:left w:w="108" w:type="dxa"/>
            <w:bottom w:w="0" w:type="dxa"/>
            <w:right w:w="108" w:type="dxa"/>
          </w:tblCellMar>
        </w:tblPrEx>
        <w:trPr>
          <w:trHeight w:val="855" w:hRule="atLeast"/>
        </w:trPr>
        <w:tc>
          <w:tcPr>
            <w:tcW w:w="289" w:type="pc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bCs/>
              </w:rPr>
            </w:pPr>
            <w:r>
              <w:rPr>
                <w:rFonts w:hint="eastAsia" w:ascii="宋体" w:hAnsi="宋体" w:cs="宋体"/>
                <w:b/>
                <w:bCs/>
              </w:rPr>
              <w:t>类别</w:t>
            </w:r>
          </w:p>
        </w:tc>
        <w:tc>
          <w:tcPr>
            <w:tcW w:w="442"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b/>
                <w:bCs/>
              </w:rPr>
            </w:pPr>
            <w:r>
              <w:rPr>
                <w:rFonts w:hint="eastAsia" w:ascii="宋体" w:hAnsi="宋体" w:cs="宋体"/>
                <w:b/>
                <w:bCs/>
              </w:rPr>
              <w:t>序号</w:t>
            </w:r>
          </w:p>
        </w:tc>
        <w:tc>
          <w:tcPr>
            <w:tcW w:w="750"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b/>
                <w:bCs/>
              </w:rPr>
            </w:pPr>
            <w:r>
              <w:rPr>
                <w:rFonts w:hint="eastAsia" w:ascii="宋体" w:hAnsi="宋体" w:cs="宋体"/>
                <w:b/>
                <w:bCs/>
              </w:rPr>
              <w:t>物资名称</w:t>
            </w:r>
          </w:p>
        </w:tc>
        <w:tc>
          <w:tcPr>
            <w:tcW w:w="289"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送货单</w:t>
            </w:r>
          </w:p>
        </w:tc>
        <w:tc>
          <w:tcPr>
            <w:tcW w:w="450"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技术要求(合同、澄清纪要)</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合格证</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说明书</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出厂检验报告</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图纸</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环境实验报告</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船检 证书</w:t>
            </w:r>
          </w:p>
        </w:tc>
        <w:tc>
          <w:tcPr>
            <w:tcW w:w="288" w:type="pct"/>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lang w:val="en-US" w:eastAsia="zh-CN"/>
              </w:rPr>
            </w:pPr>
            <w:r>
              <w:rPr>
                <w:rFonts w:hint="eastAsia" w:ascii="宋体" w:hAnsi="宋体" w:cs="宋体"/>
                <w:lang w:val="en-US" w:eastAsia="zh-CN"/>
              </w:rPr>
              <w:t>样本手册</w:t>
            </w:r>
          </w:p>
        </w:tc>
        <w:tc>
          <w:tcPr>
            <w:tcW w:w="28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材质证明</w:t>
            </w:r>
          </w:p>
        </w:tc>
        <w:tc>
          <w:tcPr>
            <w:tcW w:w="468" w:type="pct"/>
            <w:tcBorders>
              <w:top w:val="single" w:color="auto" w:sz="4" w:space="0"/>
              <w:left w:val="nil"/>
              <w:bottom w:val="single" w:color="auto" w:sz="4" w:space="0"/>
              <w:right w:val="single" w:color="auto" w:sz="4" w:space="0"/>
            </w:tcBorders>
            <w:vAlign w:val="center"/>
          </w:tcPr>
          <w:p>
            <w:pPr>
              <w:jc w:val="center"/>
              <w:rPr>
                <w:rFonts w:hint="eastAsia" w:ascii="宋体" w:hAns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289" w:type="pct"/>
            <w:vAlign w:val="center"/>
          </w:tcPr>
          <w:p>
            <w:pPr>
              <w:jc w:val="center"/>
              <w:rPr>
                <w:rFonts w:hint="eastAsia" w:ascii="宋体" w:hAnsi="宋体" w:cs="宋体"/>
              </w:rPr>
            </w:pPr>
            <w:r>
              <w:rPr>
                <w:rFonts w:hint="eastAsia" w:ascii="宋体" w:hAnsi="宋体" w:cs="宋体"/>
              </w:rPr>
              <w:t>B类</w:t>
            </w:r>
          </w:p>
        </w:tc>
        <w:tc>
          <w:tcPr>
            <w:tcW w:w="442" w:type="pct"/>
            <w:vAlign w:val="center"/>
          </w:tcPr>
          <w:p>
            <w:pPr>
              <w:jc w:val="center"/>
              <w:rPr>
                <w:rFonts w:hint="eastAsia" w:ascii="宋体" w:hAnsi="宋体" w:cs="宋体"/>
              </w:rPr>
            </w:pPr>
          </w:p>
        </w:tc>
        <w:tc>
          <w:tcPr>
            <w:tcW w:w="750" w:type="pct"/>
            <w:vAlign w:val="center"/>
          </w:tcPr>
          <w:p>
            <w:pPr>
              <w:jc w:val="center"/>
              <w:rPr>
                <w:rFonts w:hint="default" w:ascii="宋体" w:hAnsi="宋体" w:eastAsia="宋体" w:cs="宋体"/>
                <w:lang w:val="en-US" w:eastAsia="zh-CN"/>
              </w:rPr>
            </w:pPr>
            <w:r>
              <w:rPr>
                <w:rFonts w:hint="eastAsia" w:ascii="宋体" w:hAnsi="宋体" w:cs="宋体"/>
                <w:lang w:val="en-US" w:eastAsia="zh-CN"/>
              </w:rPr>
              <w:t>大通径器件</w:t>
            </w:r>
          </w:p>
        </w:tc>
        <w:tc>
          <w:tcPr>
            <w:tcW w:w="289" w:type="pct"/>
            <w:vAlign w:val="center"/>
          </w:tcPr>
          <w:p>
            <w:pPr>
              <w:jc w:val="center"/>
              <w:rPr>
                <w:rFonts w:hint="eastAsia" w:ascii="宋体" w:hAnsi="宋体" w:cs="宋体"/>
              </w:rPr>
            </w:pPr>
            <w:r>
              <w:rPr>
                <w:rFonts w:hint="eastAsia" w:ascii="宋体" w:hAnsi="宋体" w:cs="宋体"/>
              </w:rPr>
              <w:t>√</w:t>
            </w:r>
          </w:p>
        </w:tc>
        <w:tc>
          <w:tcPr>
            <w:tcW w:w="450" w:type="pct"/>
            <w:vAlign w:val="center"/>
          </w:tcPr>
          <w:p>
            <w:pPr>
              <w:jc w:val="cente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p>
        </w:tc>
        <w:tc>
          <w:tcPr>
            <w:tcW w:w="288" w:type="pct"/>
            <w:vAlign w:val="center"/>
          </w:tcPr>
          <w:p>
            <w:pPr>
              <w:jc w:val="center"/>
              <w:rPr>
                <w:rFonts w:hint="eastAsia" w:ascii="宋体" w:hAnsi="宋体" w:cs="宋体"/>
              </w:rPr>
            </w:pPr>
          </w:p>
        </w:tc>
        <w:tc>
          <w:tcPr>
            <w:tcW w:w="288" w:type="pct"/>
            <w:vAlign w:val="center"/>
          </w:tcPr>
          <w:p>
            <w:pPr>
              <w:jc w:val="center"/>
              <w:rPr>
                <w:rFonts w:hint="eastAsia" w:ascii="宋体" w:hAnsi="宋体" w:cs="宋体"/>
              </w:rPr>
            </w:pPr>
          </w:p>
        </w:tc>
        <w:tc>
          <w:tcPr>
            <w:tcW w:w="288" w:type="pct"/>
            <w:vAlign w:val="center"/>
          </w:tcPr>
          <w:p>
            <w:pPr>
              <w:jc w:val="center"/>
              <w:rPr>
                <w:rFonts w:hint="eastAsia" w:ascii="宋体" w:hAnsi="宋体" w:cs="宋体"/>
              </w:rPr>
            </w:pPr>
          </w:p>
        </w:tc>
        <w:tc>
          <w:tcPr>
            <w:tcW w:w="288" w:type="pct"/>
            <w:vAlign w:val="center"/>
          </w:tcPr>
          <w:p>
            <w:pP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r>
              <w:rPr>
                <w:rFonts w:hint="eastAsia" w:ascii="宋体" w:hAnsi="宋体" w:cs="宋体"/>
              </w:rPr>
              <w:t>√</w:t>
            </w:r>
          </w:p>
        </w:tc>
        <w:tc>
          <w:tcPr>
            <w:tcW w:w="288" w:type="pct"/>
            <w:vAlign w:val="center"/>
          </w:tcPr>
          <w:p>
            <w:pPr>
              <w:jc w:val="center"/>
              <w:rPr>
                <w:rFonts w:hint="eastAsia" w:ascii="宋体" w:hAnsi="宋体" w:cs="宋体"/>
              </w:rPr>
            </w:pPr>
          </w:p>
        </w:tc>
        <w:tc>
          <w:tcPr>
            <w:tcW w:w="468" w:type="pct"/>
            <w:vAlign w:val="center"/>
          </w:tcPr>
          <w:p>
            <w:pPr>
              <w:rPr>
                <w:rFonts w:hint="eastAsia" w:ascii="宋体" w:hAnsi="宋体" w:cs="宋体"/>
              </w:rPr>
            </w:pPr>
          </w:p>
        </w:tc>
      </w:tr>
    </w:tbl>
    <w:p>
      <w:pPr>
        <w:ind w:firstLine="480" w:firstLineChars="200"/>
        <w:rPr>
          <w:rFonts w:hint="eastAsia" w:ascii="宋体" w:hAnsi="宋体" w:cs="宋体"/>
        </w:rPr>
      </w:pPr>
    </w:p>
    <w:p>
      <w:pPr>
        <w:rPr>
          <w:rFonts w:hint="eastAsia" w:ascii="宋体" w:hAnsi="宋体" w:cs="宋体"/>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1C140"/>
    <w:multiLevelType w:val="singleLevel"/>
    <w:tmpl w:val="AAC1C140"/>
    <w:lvl w:ilvl="0" w:tentative="0">
      <w:start w:val="3"/>
      <w:numFmt w:val="chineseCounting"/>
      <w:suff w:val="nothing"/>
      <w:lvlText w:val="%1、"/>
      <w:lvlJc w:val="left"/>
      <w:rPr>
        <w:rFonts w:hint="eastAsia"/>
      </w:rPr>
    </w:lvl>
  </w:abstractNum>
  <w:abstractNum w:abstractNumId="1">
    <w:nsid w:val="D975B994"/>
    <w:multiLevelType w:val="singleLevel"/>
    <w:tmpl w:val="D975B994"/>
    <w:lvl w:ilvl="0" w:tentative="0">
      <w:start w:val="1"/>
      <w:numFmt w:val="decimal"/>
      <w:lvlText w:val="(%1)"/>
      <w:lvlJc w:val="left"/>
      <w:pPr>
        <w:ind w:left="425" w:hanging="425"/>
      </w:pPr>
      <w:rPr>
        <w:rFonts w:hint="default"/>
      </w:rPr>
    </w:lvl>
  </w:abstractNum>
  <w:abstractNum w:abstractNumId="2">
    <w:nsid w:val="0F5C230F"/>
    <w:multiLevelType w:val="singleLevel"/>
    <w:tmpl w:val="0F5C230F"/>
    <w:lvl w:ilvl="0" w:tentative="0">
      <w:start w:val="1"/>
      <w:numFmt w:val="decimal"/>
      <w:lvlText w:val="(%1)"/>
      <w:lvlJc w:val="left"/>
      <w:pPr>
        <w:ind w:left="425" w:hanging="425"/>
      </w:pPr>
      <w:rPr>
        <w:rFonts w:hint="default"/>
      </w:rPr>
    </w:lvl>
  </w:abstractNum>
  <w:abstractNum w:abstractNumId="3">
    <w:nsid w:val="23AC4A7A"/>
    <w:multiLevelType w:val="singleLevel"/>
    <w:tmpl w:val="23AC4A7A"/>
    <w:lvl w:ilvl="0" w:tentative="0">
      <w:start w:val="1"/>
      <w:numFmt w:val="bullet"/>
      <w:lvlText w:val=""/>
      <w:lvlJc w:val="left"/>
      <w:pPr>
        <w:ind w:left="420" w:hanging="420"/>
      </w:pPr>
      <w:rPr>
        <w:rFonts w:hint="default" w:ascii="Wingdings" w:hAnsi="Wingdings"/>
      </w:rPr>
    </w:lvl>
  </w:abstractNum>
  <w:abstractNum w:abstractNumId="4">
    <w:nsid w:val="31EC64F0"/>
    <w:multiLevelType w:val="singleLevel"/>
    <w:tmpl w:val="31EC64F0"/>
    <w:lvl w:ilvl="0" w:tentative="0">
      <w:start w:val="1"/>
      <w:numFmt w:val="decimal"/>
      <w:lvlText w:val="(%1)"/>
      <w:lvlJc w:val="left"/>
      <w:pPr>
        <w:ind w:left="425" w:hanging="425"/>
      </w:pPr>
      <w:rPr>
        <w:rFonts w:hint="default"/>
      </w:rPr>
    </w:lvl>
  </w:abstractNum>
  <w:abstractNum w:abstractNumId="5">
    <w:nsid w:val="343B7379"/>
    <w:multiLevelType w:val="multilevel"/>
    <w:tmpl w:val="343B737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1CC0575"/>
    <w:multiLevelType w:val="singleLevel"/>
    <w:tmpl w:val="71CC0575"/>
    <w:lvl w:ilvl="0" w:tentative="0">
      <w:start w:val="1"/>
      <w:numFmt w:val="upperLetter"/>
      <w:suff w:val="nothing"/>
      <w:lvlText w:val="（%1）"/>
      <w:lvlJc w:val="left"/>
    </w:lvl>
  </w:abstractNum>
  <w:num w:numId="1">
    <w:abstractNumId w:val="5"/>
  </w:num>
  <w:num w:numId="2">
    <w:abstractNumId w:val="0"/>
  </w:num>
  <w:num w:numId="3">
    <w:abstractNumId w:val="3"/>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1ZjI2MjFmYTJmODgzZjkyNGUzODYxMGQyZjRhNjgifQ=="/>
  </w:docVars>
  <w:rsids>
    <w:rsidRoot w:val="4D4E06E1"/>
    <w:rsid w:val="0000068C"/>
    <w:rsid w:val="00034C60"/>
    <w:rsid w:val="00034FE7"/>
    <w:rsid w:val="00036AB4"/>
    <w:rsid w:val="000513BC"/>
    <w:rsid w:val="00052349"/>
    <w:rsid w:val="00056979"/>
    <w:rsid w:val="00057427"/>
    <w:rsid w:val="00077BD7"/>
    <w:rsid w:val="00085253"/>
    <w:rsid w:val="0008786F"/>
    <w:rsid w:val="00091EE4"/>
    <w:rsid w:val="000A5FB9"/>
    <w:rsid w:val="000C005A"/>
    <w:rsid w:val="000E0727"/>
    <w:rsid w:val="001061CB"/>
    <w:rsid w:val="00124848"/>
    <w:rsid w:val="00126837"/>
    <w:rsid w:val="00143E99"/>
    <w:rsid w:val="00144792"/>
    <w:rsid w:val="001452AE"/>
    <w:rsid w:val="00150434"/>
    <w:rsid w:val="001546D3"/>
    <w:rsid w:val="0015632B"/>
    <w:rsid w:val="00171B9F"/>
    <w:rsid w:val="0018075F"/>
    <w:rsid w:val="0018362B"/>
    <w:rsid w:val="001938A7"/>
    <w:rsid w:val="001A4BBC"/>
    <w:rsid w:val="001A4F2D"/>
    <w:rsid w:val="001A643E"/>
    <w:rsid w:val="001B10D2"/>
    <w:rsid w:val="001B3245"/>
    <w:rsid w:val="001E2160"/>
    <w:rsid w:val="001E761F"/>
    <w:rsid w:val="001F1839"/>
    <w:rsid w:val="001F19BC"/>
    <w:rsid w:val="001F46D0"/>
    <w:rsid w:val="0020257E"/>
    <w:rsid w:val="0021117A"/>
    <w:rsid w:val="00216885"/>
    <w:rsid w:val="00257EB1"/>
    <w:rsid w:val="002653EB"/>
    <w:rsid w:val="0028382B"/>
    <w:rsid w:val="00287BCB"/>
    <w:rsid w:val="002B0999"/>
    <w:rsid w:val="002C5132"/>
    <w:rsid w:val="002D2477"/>
    <w:rsid w:val="002D5B88"/>
    <w:rsid w:val="002D6ED2"/>
    <w:rsid w:val="002E53A5"/>
    <w:rsid w:val="003611C8"/>
    <w:rsid w:val="0036213D"/>
    <w:rsid w:val="00374554"/>
    <w:rsid w:val="003800ED"/>
    <w:rsid w:val="00381064"/>
    <w:rsid w:val="00390823"/>
    <w:rsid w:val="003A7416"/>
    <w:rsid w:val="003B1431"/>
    <w:rsid w:val="003C5733"/>
    <w:rsid w:val="003E5374"/>
    <w:rsid w:val="003F4E3B"/>
    <w:rsid w:val="00406527"/>
    <w:rsid w:val="004142E8"/>
    <w:rsid w:val="00423A97"/>
    <w:rsid w:val="00444736"/>
    <w:rsid w:val="00464A03"/>
    <w:rsid w:val="0047022A"/>
    <w:rsid w:val="00471CD2"/>
    <w:rsid w:val="00474C80"/>
    <w:rsid w:val="00476978"/>
    <w:rsid w:val="004778A0"/>
    <w:rsid w:val="0048095C"/>
    <w:rsid w:val="004959C0"/>
    <w:rsid w:val="004B11AB"/>
    <w:rsid w:val="004B20FA"/>
    <w:rsid w:val="004C17C8"/>
    <w:rsid w:val="004C2578"/>
    <w:rsid w:val="004D5560"/>
    <w:rsid w:val="004D5E13"/>
    <w:rsid w:val="004D6E86"/>
    <w:rsid w:val="004D7604"/>
    <w:rsid w:val="005108EE"/>
    <w:rsid w:val="00516BC3"/>
    <w:rsid w:val="00526629"/>
    <w:rsid w:val="00534C00"/>
    <w:rsid w:val="005367F7"/>
    <w:rsid w:val="00560BF5"/>
    <w:rsid w:val="0056458D"/>
    <w:rsid w:val="00565237"/>
    <w:rsid w:val="00567321"/>
    <w:rsid w:val="00573B1A"/>
    <w:rsid w:val="005800CD"/>
    <w:rsid w:val="005871EB"/>
    <w:rsid w:val="00595378"/>
    <w:rsid w:val="005C1511"/>
    <w:rsid w:val="005E2E54"/>
    <w:rsid w:val="005E4B72"/>
    <w:rsid w:val="005F202D"/>
    <w:rsid w:val="005F7324"/>
    <w:rsid w:val="00603BE1"/>
    <w:rsid w:val="0061002B"/>
    <w:rsid w:val="00626832"/>
    <w:rsid w:val="00633C72"/>
    <w:rsid w:val="00636DCE"/>
    <w:rsid w:val="006402F6"/>
    <w:rsid w:val="0064151C"/>
    <w:rsid w:val="00665864"/>
    <w:rsid w:val="00691CB9"/>
    <w:rsid w:val="006A58DC"/>
    <w:rsid w:val="006A64A5"/>
    <w:rsid w:val="006B4C17"/>
    <w:rsid w:val="006B69E0"/>
    <w:rsid w:val="006C089B"/>
    <w:rsid w:val="006D25D0"/>
    <w:rsid w:val="006D5598"/>
    <w:rsid w:val="006E5187"/>
    <w:rsid w:val="00700845"/>
    <w:rsid w:val="00723407"/>
    <w:rsid w:val="007251EB"/>
    <w:rsid w:val="00731321"/>
    <w:rsid w:val="00733B42"/>
    <w:rsid w:val="00741528"/>
    <w:rsid w:val="00752A56"/>
    <w:rsid w:val="00753572"/>
    <w:rsid w:val="00757C77"/>
    <w:rsid w:val="00765D91"/>
    <w:rsid w:val="007970ED"/>
    <w:rsid w:val="007B3AED"/>
    <w:rsid w:val="007B7143"/>
    <w:rsid w:val="007C3203"/>
    <w:rsid w:val="007C465B"/>
    <w:rsid w:val="007C609C"/>
    <w:rsid w:val="007D47D8"/>
    <w:rsid w:val="007E16D8"/>
    <w:rsid w:val="00802AED"/>
    <w:rsid w:val="008129DA"/>
    <w:rsid w:val="00814B00"/>
    <w:rsid w:val="00816B38"/>
    <w:rsid w:val="00821779"/>
    <w:rsid w:val="00822E56"/>
    <w:rsid w:val="0084207C"/>
    <w:rsid w:val="00847618"/>
    <w:rsid w:val="008522D8"/>
    <w:rsid w:val="008900EB"/>
    <w:rsid w:val="0089135E"/>
    <w:rsid w:val="008A4CD5"/>
    <w:rsid w:val="008A713B"/>
    <w:rsid w:val="008B1FC6"/>
    <w:rsid w:val="008C2B95"/>
    <w:rsid w:val="008C4900"/>
    <w:rsid w:val="008D0EEF"/>
    <w:rsid w:val="008E0207"/>
    <w:rsid w:val="008E4199"/>
    <w:rsid w:val="008E651C"/>
    <w:rsid w:val="00905743"/>
    <w:rsid w:val="00921960"/>
    <w:rsid w:val="0092262D"/>
    <w:rsid w:val="00925316"/>
    <w:rsid w:val="0094097E"/>
    <w:rsid w:val="0094380E"/>
    <w:rsid w:val="00953D8B"/>
    <w:rsid w:val="009571A7"/>
    <w:rsid w:val="009703A6"/>
    <w:rsid w:val="00982362"/>
    <w:rsid w:val="009B25B0"/>
    <w:rsid w:val="009C6914"/>
    <w:rsid w:val="009C73AB"/>
    <w:rsid w:val="009E2175"/>
    <w:rsid w:val="009F2B14"/>
    <w:rsid w:val="009F3B3E"/>
    <w:rsid w:val="00A03DB9"/>
    <w:rsid w:val="00A0728E"/>
    <w:rsid w:val="00A14C71"/>
    <w:rsid w:val="00A20469"/>
    <w:rsid w:val="00A34DF3"/>
    <w:rsid w:val="00A406E7"/>
    <w:rsid w:val="00A63410"/>
    <w:rsid w:val="00A75F9F"/>
    <w:rsid w:val="00A86625"/>
    <w:rsid w:val="00A9031F"/>
    <w:rsid w:val="00A9589C"/>
    <w:rsid w:val="00A96608"/>
    <w:rsid w:val="00A9693C"/>
    <w:rsid w:val="00A96A7F"/>
    <w:rsid w:val="00AA2B20"/>
    <w:rsid w:val="00AB50C9"/>
    <w:rsid w:val="00AB6B66"/>
    <w:rsid w:val="00AD4349"/>
    <w:rsid w:val="00AD5EFC"/>
    <w:rsid w:val="00AE252A"/>
    <w:rsid w:val="00AE2FA0"/>
    <w:rsid w:val="00AF7231"/>
    <w:rsid w:val="00B01255"/>
    <w:rsid w:val="00B02405"/>
    <w:rsid w:val="00B03E41"/>
    <w:rsid w:val="00B053F2"/>
    <w:rsid w:val="00B20CC5"/>
    <w:rsid w:val="00B21714"/>
    <w:rsid w:val="00B34C99"/>
    <w:rsid w:val="00B82778"/>
    <w:rsid w:val="00B836F0"/>
    <w:rsid w:val="00B86B7A"/>
    <w:rsid w:val="00BB0ED5"/>
    <w:rsid w:val="00BB601F"/>
    <w:rsid w:val="00BD7F9D"/>
    <w:rsid w:val="00BE7FF5"/>
    <w:rsid w:val="00BF4558"/>
    <w:rsid w:val="00C1398A"/>
    <w:rsid w:val="00C13AE0"/>
    <w:rsid w:val="00C16D57"/>
    <w:rsid w:val="00C232D9"/>
    <w:rsid w:val="00C57B2B"/>
    <w:rsid w:val="00C603FA"/>
    <w:rsid w:val="00C67F4D"/>
    <w:rsid w:val="00C77F68"/>
    <w:rsid w:val="00CA28E1"/>
    <w:rsid w:val="00CA632D"/>
    <w:rsid w:val="00CA7B11"/>
    <w:rsid w:val="00CB6F76"/>
    <w:rsid w:val="00CD4F66"/>
    <w:rsid w:val="00CE03D7"/>
    <w:rsid w:val="00D005BA"/>
    <w:rsid w:val="00D10EDE"/>
    <w:rsid w:val="00D1190E"/>
    <w:rsid w:val="00D15F56"/>
    <w:rsid w:val="00D23F19"/>
    <w:rsid w:val="00D362D5"/>
    <w:rsid w:val="00D369F2"/>
    <w:rsid w:val="00D4106F"/>
    <w:rsid w:val="00D46B42"/>
    <w:rsid w:val="00D9081A"/>
    <w:rsid w:val="00D9101F"/>
    <w:rsid w:val="00D94F31"/>
    <w:rsid w:val="00DA206A"/>
    <w:rsid w:val="00DA2A52"/>
    <w:rsid w:val="00DA7BA8"/>
    <w:rsid w:val="00DB6294"/>
    <w:rsid w:val="00DB757C"/>
    <w:rsid w:val="00DD7CDE"/>
    <w:rsid w:val="00DF5D18"/>
    <w:rsid w:val="00E014DD"/>
    <w:rsid w:val="00E07A59"/>
    <w:rsid w:val="00E165E4"/>
    <w:rsid w:val="00E21AB9"/>
    <w:rsid w:val="00E24CE7"/>
    <w:rsid w:val="00E502F2"/>
    <w:rsid w:val="00E56E78"/>
    <w:rsid w:val="00E67D69"/>
    <w:rsid w:val="00EB57CF"/>
    <w:rsid w:val="00EC6C4E"/>
    <w:rsid w:val="00ED6AA2"/>
    <w:rsid w:val="00ED776F"/>
    <w:rsid w:val="00EE7315"/>
    <w:rsid w:val="00EF4276"/>
    <w:rsid w:val="00F00F81"/>
    <w:rsid w:val="00F04F32"/>
    <w:rsid w:val="00F12511"/>
    <w:rsid w:val="00F30B73"/>
    <w:rsid w:val="00F46264"/>
    <w:rsid w:val="00F53B56"/>
    <w:rsid w:val="00F70DD4"/>
    <w:rsid w:val="00F7264C"/>
    <w:rsid w:val="00F8535C"/>
    <w:rsid w:val="00F931F3"/>
    <w:rsid w:val="00FB3B8A"/>
    <w:rsid w:val="00FC2674"/>
    <w:rsid w:val="00FD6EB0"/>
    <w:rsid w:val="00FE2362"/>
    <w:rsid w:val="00FE400D"/>
    <w:rsid w:val="00FE7DC2"/>
    <w:rsid w:val="01A96C5F"/>
    <w:rsid w:val="0213799D"/>
    <w:rsid w:val="02232A27"/>
    <w:rsid w:val="0224797E"/>
    <w:rsid w:val="028C773C"/>
    <w:rsid w:val="02CB7F49"/>
    <w:rsid w:val="030E3C72"/>
    <w:rsid w:val="03122996"/>
    <w:rsid w:val="037E26D9"/>
    <w:rsid w:val="03810946"/>
    <w:rsid w:val="047F3E93"/>
    <w:rsid w:val="04B019C0"/>
    <w:rsid w:val="05653FDF"/>
    <w:rsid w:val="059A3C03"/>
    <w:rsid w:val="05A66DF1"/>
    <w:rsid w:val="05AD14BF"/>
    <w:rsid w:val="05C06500"/>
    <w:rsid w:val="05EF64AF"/>
    <w:rsid w:val="060271D6"/>
    <w:rsid w:val="0607706A"/>
    <w:rsid w:val="06180842"/>
    <w:rsid w:val="06BF7997"/>
    <w:rsid w:val="06F04013"/>
    <w:rsid w:val="07BF5A29"/>
    <w:rsid w:val="07C310BA"/>
    <w:rsid w:val="0822685D"/>
    <w:rsid w:val="08643FFA"/>
    <w:rsid w:val="08EB4EA1"/>
    <w:rsid w:val="093012D1"/>
    <w:rsid w:val="097A375E"/>
    <w:rsid w:val="09AB6CB6"/>
    <w:rsid w:val="09DA4E8B"/>
    <w:rsid w:val="0A307ED9"/>
    <w:rsid w:val="0AAF3576"/>
    <w:rsid w:val="0B073AE9"/>
    <w:rsid w:val="0B6E0700"/>
    <w:rsid w:val="0BE062E8"/>
    <w:rsid w:val="0C5C35DE"/>
    <w:rsid w:val="0C7E222C"/>
    <w:rsid w:val="0C9814B6"/>
    <w:rsid w:val="0C995C24"/>
    <w:rsid w:val="0CEC743A"/>
    <w:rsid w:val="0D18468E"/>
    <w:rsid w:val="0D5A28CC"/>
    <w:rsid w:val="0DFA16E3"/>
    <w:rsid w:val="0E0D34F5"/>
    <w:rsid w:val="0E781866"/>
    <w:rsid w:val="0F661338"/>
    <w:rsid w:val="10060813"/>
    <w:rsid w:val="1020743C"/>
    <w:rsid w:val="102F3DBB"/>
    <w:rsid w:val="10532115"/>
    <w:rsid w:val="109E5DCB"/>
    <w:rsid w:val="10AD4EE1"/>
    <w:rsid w:val="10AF4A17"/>
    <w:rsid w:val="10E02E12"/>
    <w:rsid w:val="11295701"/>
    <w:rsid w:val="113A2539"/>
    <w:rsid w:val="11516BF6"/>
    <w:rsid w:val="11B20360"/>
    <w:rsid w:val="12024C42"/>
    <w:rsid w:val="121A2353"/>
    <w:rsid w:val="12484F79"/>
    <w:rsid w:val="12B02DD3"/>
    <w:rsid w:val="12BD0540"/>
    <w:rsid w:val="13E77C57"/>
    <w:rsid w:val="13F37300"/>
    <w:rsid w:val="14104CEE"/>
    <w:rsid w:val="158439EB"/>
    <w:rsid w:val="15C11522"/>
    <w:rsid w:val="15D60A84"/>
    <w:rsid w:val="16093E0A"/>
    <w:rsid w:val="166718DF"/>
    <w:rsid w:val="16C32FBA"/>
    <w:rsid w:val="16E5129C"/>
    <w:rsid w:val="17A5449D"/>
    <w:rsid w:val="17C31108"/>
    <w:rsid w:val="17D06220"/>
    <w:rsid w:val="18231EF6"/>
    <w:rsid w:val="189127B9"/>
    <w:rsid w:val="18DA4311"/>
    <w:rsid w:val="18DE1768"/>
    <w:rsid w:val="191238FE"/>
    <w:rsid w:val="19206E47"/>
    <w:rsid w:val="198F42BC"/>
    <w:rsid w:val="1A1329CB"/>
    <w:rsid w:val="1A1873BF"/>
    <w:rsid w:val="1A832B9E"/>
    <w:rsid w:val="1AB75C3F"/>
    <w:rsid w:val="1AD0039B"/>
    <w:rsid w:val="1ADC645C"/>
    <w:rsid w:val="1AEE385C"/>
    <w:rsid w:val="1B206023"/>
    <w:rsid w:val="1BF309FF"/>
    <w:rsid w:val="1C026B38"/>
    <w:rsid w:val="1C14524D"/>
    <w:rsid w:val="1C9340EC"/>
    <w:rsid w:val="1CBB1081"/>
    <w:rsid w:val="1CD80CB4"/>
    <w:rsid w:val="1CDE6559"/>
    <w:rsid w:val="1D1C38F4"/>
    <w:rsid w:val="1D531A36"/>
    <w:rsid w:val="1DC0098F"/>
    <w:rsid w:val="1E33325C"/>
    <w:rsid w:val="1EB451EE"/>
    <w:rsid w:val="1EFE5842"/>
    <w:rsid w:val="1F941924"/>
    <w:rsid w:val="1FE230BF"/>
    <w:rsid w:val="20210B75"/>
    <w:rsid w:val="21022930"/>
    <w:rsid w:val="210515BB"/>
    <w:rsid w:val="2120725A"/>
    <w:rsid w:val="213E7A5D"/>
    <w:rsid w:val="21B332F5"/>
    <w:rsid w:val="21CB5781"/>
    <w:rsid w:val="222A69CB"/>
    <w:rsid w:val="22851A6B"/>
    <w:rsid w:val="23177661"/>
    <w:rsid w:val="237813DD"/>
    <w:rsid w:val="237F715C"/>
    <w:rsid w:val="23D11945"/>
    <w:rsid w:val="24237D8D"/>
    <w:rsid w:val="243F005E"/>
    <w:rsid w:val="245D2121"/>
    <w:rsid w:val="25124D86"/>
    <w:rsid w:val="25246E76"/>
    <w:rsid w:val="25414488"/>
    <w:rsid w:val="257B5C80"/>
    <w:rsid w:val="259302E4"/>
    <w:rsid w:val="259563AB"/>
    <w:rsid w:val="25AF527A"/>
    <w:rsid w:val="25EC61C5"/>
    <w:rsid w:val="26316AF8"/>
    <w:rsid w:val="26671497"/>
    <w:rsid w:val="26812679"/>
    <w:rsid w:val="26A31CDF"/>
    <w:rsid w:val="27361A91"/>
    <w:rsid w:val="27644686"/>
    <w:rsid w:val="276F7B00"/>
    <w:rsid w:val="27773B72"/>
    <w:rsid w:val="27BD5803"/>
    <w:rsid w:val="291E643D"/>
    <w:rsid w:val="29B317CC"/>
    <w:rsid w:val="2A325C91"/>
    <w:rsid w:val="2A5142C4"/>
    <w:rsid w:val="2AAE367A"/>
    <w:rsid w:val="2AFD2538"/>
    <w:rsid w:val="2B21674A"/>
    <w:rsid w:val="2B2C0826"/>
    <w:rsid w:val="2B794689"/>
    <w:rsid w:val="2B966A97"/>
    <w:rsid w:val="2BF232F4"/>
    <w:rsid w:val="2BFA4860"/>
    <w:rsid w:val="2C1D7B86"/>
    <w:rsid w:val="2C634A2A"/>
    <w:rsid w:val="2CD77126"/>
    <w:rsid w:val="2D8C48F6"/>
    <w:rsid w:val="2DE11BED"/>
    <w:rsid w:val="2E7C4BB5"/>
    <w:rsid w:val="2EB31D0C"/>
    <w:rsid w:val="2ED7322E"/>
    <w:rsid w:val="2EFC72C7"/>
    <w:rsid w:val="2F8E0B41"/>
    <w:rsid w:val="30A52D81"/>
    <w:rsid w:val="30B577D2"/>
    <w:rsid w:val="30E03A5F"/>
    <w:rsid w:val="3106080C"/>
    <w:rsid w:val="31FD161E"/>
    <w:rsid w:val="321C5DD8"/>
    <w:rsid w:val="329632FB"/>
    <w:rsid w:val="32EC567B"/>
    <w:rsid w:val="331F1082"/>
    <w:rsid w:val="3353526D"/>
    <w:rsid w:val="336B357D"/>
    <w:rsid w:val="336C2A69"/>
    <w:rsid w:val="33A50B4A"/>
    <w:rsid w:val="343F4514"/>
    <w:rsid w:val="344D215A"/>
    <w:rsid w:val="345E60AF"/>
    <w:rsid w:val="34A04C16"/>
    <w:rsid w:val="3539469E"/>
    <w:rsid w:val="366C6406"/>
    <w:rsid w:val="36A537F9"/>
    <w:rsid w:val="36B04905"/>
    <w:rsid w:val="36B201D4"/>
    <w:rsid w:val="36D64360"/>
    <w:rsid w:val="36E54036"/>
    <w:rsid w:val="37842295"/>
    <w:rsid w:val="37D401EE"/>
    <w:rsid w:val="38042FDA"/>
    <w:rsid w:val="387C1AE3"/>
    <w:rsid w:val="38FE7A29"/>
    <w:rsid w:val="3934299A"/>
    <w:rsid w:val="393F3452"/>
    <w:rsid w:val="39D569DC"/>
    <w:rsid w:val="39F0522E"/>
    <w:rsid w:val="39FD4DE0"/>
    <w:rsid w:val="3A68321A"/>
    <w:rsid w:val="3A824DB6"/>
    <w:rsid w:val="3AAE6C6C"/>
    <w:rsid w:val="3B82462F"/>
    <w:rsid w:val="3BBE7140"/>
    <w:rsid w:val="3CFF0D14"/>
    <w:rsid w:val="3EA45898"/>
    <w:rsid w:val="3FB8338A"/>
    <w:rsid w:val="3FED0A78"/>
    <w:rsid w:val="40EF38BE"/>
    <w:rsid w:val="40F43255"/>
    <w:rsid w:val="411C23B8"/>
    <w:rsid w:val="41287992"/>
    <w:rsid w:val="41AC096A"/>
    <w:rsid w:val="42450706"/>
    <w:rsid w:val="42DB3FE5"/>
    <w:rsid w:val="430F5C85"/>
    <w:rsid w:val="433A4C90"/>
    <w:rsid w:val="436447B4"/>
    <w:rsid w:val="43C81360"/>
    <w:rsid w:val="43F77D6B"/>
    <w:rsid w:val="44184095"/>
    <w:rsid w:val="44393D26"/>
    <w:rsid w:val="443B107F"/>
    <w:rsid w:val="452C71DC"/>
    <w:rsid w:val="45813EBC"/>
    <w:rsid w:val="45AA62A1"/>
    <w:rsid w:val="465A1A71"/>
    <w:rsid w:val="47906365"/>
    <w:rsid w:val="47C615D0"/>
    <w:rsid w:val="4852617A"/>
    <w:rsid w:val="487467F2"/>
    <w:rsid w:val="48BD692C"/>
    <w:rsid w:val="49342FEA"/>
    <w:rsid w:val="49651B65"/>
    <w:rsid w:val="49B9098C"/>
    <w:rsid w:val="4A746B40"/>
    <w:rsid w:val="4A843528"/>
    <w:rsid w:val="4AD827D0"/>
    <w:rsid w:val="4B0A6D77"/>
    <w:rsid w:val="4BEB02E1"/>
    <w:rsid w:val="4C6153DA"/>
    <w:rsid w:val="4CC273EB"/>
    <w:rsid w:val="4D355CB8"/>
    <w:rsid w:val="4D4E06E1"/>
    <w:rsid w:val="4D500B1D"/>
    <w:rsid w:val="4D691540"/>
    <w:rsid w:val="4D85316E"/>
    <w:rsid w:val="4DA547A4"/>
    <w:rsid w:val="4DDA703D"/>
    <w:rsid w:val="4E8401B0"/>
    <w:rsid w:val="4EC868CB"/>
    <w:rsid w:val="4ED45728"/>
    <w:rsid w:val="4EFF7688"/>
    <w:rsid w:val="4F1F7CBE"/>
    <w:rsid w:val="4F223842"/>
    <w:rsid w:val="4F45629F"/>
    <w:rsid w:val="4F9921CC"/>
    <w:rsid w:val="4FD624F9"/>
    <w:rsid w:val="50213603"/>
    <w:rsid w:val="5033646F"/>
    <w:rsid w:val="503F04A5"/>
    <w:rsid w:val="50B32762"/>
    <w:rsid w:val="510C4F82"/>
    <w:rsid w:val="511E5675"/>
    <w:rsid w:val="51E4113D"/>
    <w:rsid w:val="52466271"/>
    <w:rsid w:val="53176B7B"/>
    <w:rsid w:val="532E0584"/>
    <w:rsid w:val="536374F8"/>
    <w:rsid w:val="53997292"/>
    <w:rsid w:val="53A710DC"/>
    <w:rsid w:val="53BF01CE"/>
    <w:rsid w:val="53C967C1"/>
    <w:rsid w:val="540D5375"/>
    <w:rsid w:val="543E182F"/>
    <w:rsid w:val="54BD7F18"/>
    <w:rsid w:val="54FA4EA1"/>
    <w:rsid w:val="553C7D91"/>
    <w:rsid w:val="558706F5"/>
    <w:rsid w:val="55DA7B0E"/>
    <w:rsid w:val="56831E5F"/>
    <w:rsid w:val="574A05B2"/>
    <w:rsid w:val="57B96552"/>
    <w:rsid w:val="57BF26CB"/>
    <w:rsid w:val="57C75011"/>
    <w:rsid w:val="57D863C8"/>
    <w:rsid w:val="58333B89"/>
    <w:rsid w:val="58DF2894"/>
    <w:rsid w:val="5974710F"/>
    <w:rsid w:val="59965D30"/>
    <w:rsid w:val="5A1364EF"/>
    <w:rsid w:val="5A830232"/>
    <w:rsid w:val="5A9A6BAE"/>
    <w:rsid w:val="5ADC6BFF"/>
    <w:rsid w:val="5AF078D1"/>
    <w:rsid w:val="5AF96577"/>
    <w:rsid w:val="5C1D0330"/>
    <w:rsid w:val="5C577F88"/>
    <w:rsid w:val="5C5A1297"/>
    <w:rsid w:val="5D1739DF"/>
    <w:rsid w:val="5D683540"/>
    <w:rsid w:val="5DAD014C"/>
    <w:rsid w:val="5DFB4404"/>
    <w:rsid w:val="5E493CA8"/>
    <w:rsid w:val="5EB62679"/>
    <w:rsid w:val="5EEB73F1"/>
    <w:rsid w:val="5EEF6832"/>
    <w:rsid w:val="5F4B5E33"/>
    <w:rsid w:val="5F660535"/>
    <w:rsid w:val="5FFE4324"/>
    <w:rsid w:val="600862CC"/>
    <w:rsid w:val="60601D56"/>
    <w:rsid w:val="60976E16"/>
    <w:rsid w:val="60C82547"/>
    <w:rsid w:val="60F32B9D"/>
    <w:rsid w:val="61037B3C"/>
    <w:rsid w:val="61407872"/>
    <w:rsid w:val="61F42D3B"/>
    <w:rsid w:val="620E3DBB"/>
    <w:rsid w:val="62555DE7"/>
    <w:rsid w:val="62853BF8"/>
    <w:rsid w:val="62D96C8E"/>
    <w:rsid w:val="631D301E"/>
    <w:rsid w:val="63341EE4"/>
    <w:rsid w:val="63386AA7"/>
    <w:rsid w:val="637341FF"/>
    <w:rsid w:val="64402C24"/>
    <w:rsid w:val="644D262B"/>
    <w:rsid w:val="64A0694D"/>
    <w:rsid w:val="64A34EF1"/>
    <w:rsid w:val="64F57408"/>
    <w:rsid w:val="653D3EA0"/>
    <w:rsid w:val="65967B5F"/>
    <w:rsid w:val="65A94EA3"/>
    <w:rsid w:val="65DD27C5"/>
    <w:rsid w:val="661F7427"/>
    <w:rsid w:val="66421299"/>
    <w:rsid w:val="66C71D2E"/>
    <w:rsid w:val="67193AFD"/>
    <w:rsid w:val="67565F6E"/>
    <w:rsid w:val="680E73DA"/>
    <w:rsid w:val="687D31D3"/>
    <w:rsid w:val="6891598B"/>
    <w:rsid w:val="689948DA"/>
    <w:rsid w:val="68AA205A"/>
    <w:rsid w:val="68AA773C"/>
    <w:rsid w:val="68C54A51"/>
    <w:rsid w:val="68CB5C07"/>
    <w:rsid w:val="69B813AB"/>
    <w:rsid w:val="6A0B1E23"/>
    <w:rsid w:val="6A1C3CF5"/>
    <w:rsid w:val="6A494B9B"/>
    <w:rsid w:val="6A5F3E1B"/>
    <w:rsid w:val="6A83665A"/>
    <w:rsid w:val="6AC21BD9"/>
    <w:rsid w:val="6AF44665"/>
    <w:rsid w:val="6B1130A9"/>
    <w:rsid w:val="6B252FA2"/>
    <w:rsid w:val="6B567D34"/>
    <w:rsid w:val="6B7439F8"/>
    <w:rsid w:val="6BB838E4"/>
    <w:rsid w:val="6CA4441A"/>
    <w:rsid w:val="6D1F52DF"/>
    <w:rsid w:val="6DBE5BA3"/>
    <w:rsid w:val="6DD95D7F"/>
    <w:rsid w:val="6E2F52CD"/>
    <w:rsid w:val="6ED32DDA"/>
    <w:rsid w:val="6F21330D"/>
    <w:rsid w:val="70687C29"/>
    <w:rsid w:val="707B5720"/>
    <w:rsid w:val="70981DFC"/>
    <w:rsid w:val="70A96997"/>
    <w:rsid w:val="70B32BC2"/>
    <w:rsid w:val="7109555F"/>
    <w:rsid w:val="713954C7"/>
    <w:rsid w:val="71AD273A"/>
    <w:rsid w:val="735008A6"/>
    <w:rsid w:val="73753E5B"/>
    <w:rsid w:val="73955E21"/>
    <w:rsid w:val="73971C1C"/>
    <w:rsid w:val="73F26EC8"/>
    <w:rsid w:val="744D7BC6"/>
    <w:rsid w:val="749E126E"/>
    <w:rsid w:val="74FA48DB"/>
    <w:rsid w:val="74FC354E"/>
    <w:rsid w:val="758E3FA9"/>
    <w:rsid w:val="75BE41ED"/>
    <w:rsid w:val="76DB0DCF"/>
    <w:rsid w:val="77073F57"/>
    <w:rsid w:val="770A7622"/>
    <w:rsid w:val="775A1CF3"/>
    <w:rsid w:val="779B2CD1"/>
    <w:rsid w:val="77B801ED"/>
    <w:rsid w:val="782C1CAF"/>
    <w:rsid w:val="789A3CEC"/>
    <w:rsid w:val="78F758F6"/>
    <w:rsid w:val="7967694A"/>
    <w:rsid w:val="79AA6729"/>
    <w:rsid w:val="79EA6079"/>
    <w:rsid w:val="7A271237"/>
    <w:rsid w:val="7A631657"/>
    <w:rsid w:val="7A8206B8"/>
    <w:rsid w:val="7AA66192"/>
    <w:rsid w:val="7B5E7074"/>
    <w:rsid w:val="7BD32979"/>
    <w:rsid w:val="7BFE16F1"/>
    <w:rsid w:val="7D16533F"/>
    <w:rsid w:val="7DAD1089"/>
    <w:rsid w:val="7E055E7E"/>
    <w:rsid w:val="7E412418"/>
    <w:rsid w:val="7E777DB4"/>
    <w:rsid w:val="7E7A4D36"/>
    <w:rsid w:val="7EBF5DD7"/>
    <w:rsid w:val="7EE62709"/>
    <w:rsid w:val="7EE8052D"/>
    <w:rsid w:val="7F0D2891"/>
    <w:rsid w:val="7F1E4599"/>
    <w:rsid w:val="7F1E5CFC"/>
    <w:rsid w:val="7F4B4F98"/>
    <w:rsid w:val="7F563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99"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pPr>
    <w:rPr>
      <w:rFonts w:ascii="Times New Roman" w:hAnsi="Times New Roman" w:eastAsia="宋体" w:cs="Calibri"/>
      <w:sz w:val="24"/>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宋体" w:hAnsi="宋体" w:eastAsia="楷体_GB2312" w:cs="宋体"/>
      <w:b/>
      <w:bCs/>
      <w:kern w:val="44"/>
      <w:sz w:val="44"/>
      <w:szCs w:val="44"/>
      <w:lang w:val="zh-CN"/>
    </w:rPr>
  </w:style>
  <w:style w:type="paragraph" w:styleId="4">
    <w:name w:val="heading 2"/>
    <w:basedOn w:val="1"/>
    <w:next w:val="1"/>
    <w:qFormat/>
    <w:uiPriority w:val="9"/>
    <w:pPr>
      <w:keepNext/>
      <w:spacing w:before="240" w:after="60"/>
      <w:outlineLvl w:val="1"/>
    </w:pPr>
    <w:rPr>
      <w:rFonts w:ascii="Cambria" w:hAnsi="Cambria" w:cs="Times New Roman"/>
      <w:b/>
      <w:bCs/>
      <w:i/>
      <w:i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7"/>
    <w:qFormat/>
    <w:uiPriority w:val="0"/>
    <w:pPr>
      <w:tabs>
        <w:tab w:val="center" w:pos="4153"/>
        <w:tab w:val="right" w:pos="8306"/>
      </w:tabs>
      <w:snapToGrid w:val="0"/>
      <w:spacing w:line="240" w:lineRule="auto"/>
    </w:pPr>
    <w:rPr>
      <w:sz w:val="18"/>
      <w:szCs w:val="18"/>
    </w:rPr>
  </w:style>
  <w:style w:type="paragraph" w:styleId="5">
    <w:name w:val="Normal Indent"/>
    <w:basedOn w:val="1"/>
    <w:qFormat/>
    <w:uiPriority w:val="99"/>
    <w:pPr>
      <w:widowControl w:val="0"/>
      <w:ind w:firstLine="420" w:firstLineChars="200"/>
      <w:jc w:val="both"/>
    </w:pPr>
    <w:rPr>
      <w:rFonts w:cs="Times New Roman"/>
      <w:kern w:val="2"/>
      <w:sz w:val="21"/>
      <w:szCs w:val="21"/>
    </w:rPr>
  </w:style>
  <w:style w:type="paragraph" w:styleId="6">
    <w:name w:val="annotation text"/>
    <w:basedOn w:val="1"/>
    <w:qFormat/>
    <w:uiPriority w:val="0"/>
  </w:style>
  <w:style w:type="paragraph" w:styleId="7">
    <w:name w:val="Body Text"/>
    <w:basedOn w:val="1"/>
    <w:link w:val="28"/>
    <w:qFormat/>
    <w:uiPriority w:val="1"/>
    <w:pPr>
      <w:widowControl w:val="0"/>
      <w:spacing w:line="240" w:lineRule="auto"/>
      <w:ind w:firstLine="200" w:firstLineChars="200"/>
      <w:jc w:val="both"/>
    </w:pPr>
    <w:rPr>
      <w:rFonts w:ascii="Microsoft YaHei UI" w:hAnsi="Microsoft YaHei UI" w:eastAsia="Microsoft YaHei UI" w:cstheme="minorBidi"/>
      <w:sz w:val="21"/>
      <w:szCs w:val="21"/>
      <w:lang w:eastAsia="en-US"/>
    </w:rPr>
  </w:style>
  <w:style w:type="paragraph" w:styleId="8">
    <w:name w:val="header"/>
    <w:basedOn w:val="1"/>
    <w:link w:val="26"/>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9">
    <w:name w:val="toc 6"/>
    <w:basedOn w:val="1"/>
    <w:next w:val="1"/>
    <w:semiHidden/>
    <w:qFormat/>
    <w:uiPriority w:val="99"/>
    <w:pPr>
      <w:ind w:left="1200"/>
    </w:pPr>
    <w:rPr>
      <w:rFonts w:ascii="Calibri" w:hAnsi="Calibri"/>
      <w:sz w:val="18"/>
      <w:szCs w:val="18"/>
    </w:rPr>
  </w:style>
  <w:style w:type="paragraph" w:styleId="10">
    <w:name w:val="Normal (Web)"/>
    <w:basedOn w:val="1"/>
    <w:semiHidden/>
    <w:unhideWhenUsed/>
    <w:qFormat/>
    <w:uiPriority w:val="99"/>
    <w:pPr>
      <w:spacing w:beforeAutospacing="1" w:afterAutospacing="1"/>
    </w:pPr>
    <w:rPr>
      <w:rFonts w:cs="Times New Roman"/>
    </w:rPr>
  </w:style>
  <w:style w:type="paragraph" w:styleId="11">
    <w:name w:val="Title"/>
    <w:basedOn w:val="1"/>
    <w:next w:val="1"/>
    <w:qFormat/>
    <w:uiPriority w:val="10"/>
    <w:pPr>
      <w:spacing w:before="240" w:after="60"/>
      <w:jc w:val="center"/>
      <w:outlineLvl w:val="0"/>
    </w:pPr>
    <w:rPr>
      <w:rFonts w:ascii="Cambria" w:hAnsi="Cambria" w:cs="Times New Roman"/>
      <w:b/>
      <w:bCs/>
      <w:sz w:val="32"/>
      <w:szCs w:val="32"/>
    </w:rPr>
  </w:style>
  <w:style w:type="paragraph" w:styleId="12">
    <w:name w:val="Body Text First Indent"/>
    <w:basedOn w:val="7"/>
    <w:qFormat/>
    <w:uiPriority w:val="0"/>
    <w:pPr>
      <w:spacing w:after="120"/>
      <w:ind w:firstLine="420" w:firstLineChars="100"/>
    </w:pPr>
    <w:rPr>
      <w:rFonts w:ascii="Arial" w:hAnsi="Arial" w:eastAsia="宋体" w:cs="Times New Roman"/>
      <w:kern w:val="2"/>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qFormat/>
    <w:uiPriority w:val="99"/>
    <w:rPr>
      <w:color w:val="0000FF"/>
      <w:u w:val="single"/>
    </w:rPr>
  </w:style>
  <w:style w:type="character" w:styleId="17">
    <w:name w:val="annotation reference"/>
    <w:basedOn w:val="15"/>
    <w:qFormat/>
    <w:uiPriority w:val="0"/>
    <w:rPr>
      <w:sz w:val="21"/>
      <w:szCs w:val="21"/>
    </w:rPr>
  </w:style>
  <w:style w:type="paragraph" w:customStyle="1" w:styleId="18">
    <w:name w:val="正文（文本）"/>
    <w:next w:val="9"/>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character" w:customStyle="1" w:styleId="19">
    <w:name w:val="font41"/>
    <w:basedOn w:val="15"/>
    <w:qFormat/>
    <w:uiPriority w:val="0"/>
    <w:rPr>
      <w:rFonts w:hint="eastAsia" w:ascii="宋体" w:hAnsi="宋体" w:eastAsia="宋体" w:cs="宋体"/>
      <w:color w:val="000000"/>
      <w:sz w:val="22"/>
      <w:szCs w:val="22"/>
      <w:u w:val="none"/>
    </w:rPr>
  </w:style>
  <w:style w:type="character" w:customStyle="1" w:styleId="20">
    <w:name w:val="font01"/>
    <w:basedOn w:val="15"/>
    <w:qFormat/>
    <w:uiPriority w:val="0"/>
    <w:rPr>
      <w:rFonts w:hint="default" w:ascii="Times New Roman" w:hAnsi="Times New Roman" w:cs="Times New Roman"/>
      <w:color w:val="000000"/>
      <w:sz w:val="22"/>
      <w:szCs w:val="22"/>
      <w:u w:val="none"/>
    </w:rPr>
  </w:style>
  <w:style w:type="paragraph" w:customStyle="1" w:styleId="2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2">
    <w:name w:val="font11"/>
    <w:basedOn w:val="15"/>
    <w:qFormat/>
    <w:uiPriority w:val="0"/>
    <w:rPr>
      <w:rFonts w:hint="eastAsia" w:ascii="宋体" w:hAnsi="宋体" w:eastAsia="宋体" w:cs="宋体"/>
      <w:color w:val="000000"/>
      <w:sz w:val="22"/>
      <w:szCs w:val="22"/>
      <w:u w:val="none"/>
    </w:rPr>
  </w:style>
  <w:style w:type="character" w:customStyle="1" w:styleId="23">
    <w:name w:val="font21"/>
    <w:basedOn w:val="15"/>
    <w:qFormat/>
    <w:uiPriority w:val="0"/>
    <w:rPr>
      <w:rFonts w:hint="default" w:ascii="Times New Roman" w:hAnsi="Times New Roman" w:cs="Times New Roman"/>
      <w:color w:val="000000"/>
      <w:sz w:val="22"/>
      <w:szCs w:val="22"/>
      <w:u w:val="none"/>
    </w:rPr>
  </w:style>
  <w:style w:type="paragraph" w:customStyle="1" w:styleId="24">
    <w:name w:val="列出段落1"/>
    <w:basedOn w:val="25"/>
    <w:qFormat/>
    <w:uiPriority w:val="34"/>
    <w:pPr>
      <w:ind w:firstLine="420" w:firstLineChars="200"/>
    </w:pPr>
  </w:style>
  <w:style w:type="paragraph" w:customStyle="1" w:styleId="25">
    <w:name w:val="Normal_0"/>
    <w:qFormat/>
    <w:uiPriority w:val="0"/>
    <w:pPr>
      <w:widowControl w:val="0"/>
      <w:ind w:right="5" w:rightChars="5"/>
    </w:pPr>
    <w:rPr>
      <w:rFonts w:ascii="Calibri" w:hAnsi="Calibri" w:eastAsia="宋体" w:cs="Times New Roman"/>
      <w:sz w:val="22"/>
      <w:szCs w:val="22"/>
      <w:lang w:val="en-US" w:eastAsia="en-US" w:bidi="ar-SA"/>
    </w:rPr>
  </w:style>
  <w:style w:type="character" w:customStyle="1" w:styleId="26">
    <w:name w:val="页眉 字符"/>
    <w:basedOn w:val="15"/>
    <w:link w:val="8"/>
    <w:qFormat/>
    <w:uiPriority w:val="0"/>
    <w:rPr>
      <w:rFonts w:cs="Calibri"/>
      <w:sz w:val="18"/>
      <w:szCs w:val="18"/>
    </w:rPr>
  </w:style>
  <w:style w:type="character" w:customStyle="1" w:styleId="27">
    <w:name w:val="页脚 字符"/>
    <w:basedOn w:val="15"/>
    <w:link w:val="2"/>
    <w:qFormat/>
    <w:uiPriority w:val="0"/>
    <w:rPr>
      <w:rFonts w:cs="Calibri"/>
      <w:sz w:val="18"/>
      <w:szCs w:val="18"/>
    </w:rPr>
  </w:style>
  <w:style w:type="character" w:customStyle="1" w:styleId="28">
    <w:name w:val="正文文本 字符"/>
    <w:basedOn w:val="15"/>
    <w:link w:val="7"/>
    <w:qFormat/>
    <w:uiPriority w:val="1"/>
    <w:rPr>
      <w:rFonts w:ascii="Microsoft YaHei UI" w:hAnsi="Microsoft YaHei UI" w:eastAsia="Microsoft YaHei UI" w:cstheme="minorBidi"/>
      <w:sz w:val="21"/>
      <w:szCs w:val="21"/>
      <w:lang w:eastAsia="en-US"/>
    </w:rPr>
  </w:style>
  <w:style w:type="paragraph" w:styleId="29">
    <w:name w:val="List Paragraph"/>
    <w:basedOn w:val="1"/>
    <w:qFormat/>
    <w:uiPriority w:val="0"/>
    <w:pPr>
      <w:widowControl w:val="0"/>
      <w:spacing w:line="240" w:lineRule="auto"/>
      <w:ind w:firstLine="420" w:firstLineChars="200"/>
      <w:jc w:val="both"/>
    </w:pPr>
    <w:rPr>
      <w:rFonts w:asciiTheme="minorHAnsi" w:hAnsiTheme="minorHAnsi" w:eastAsiaTheme="minorEastAsia" w:cstheme="minorBidi"/>
      <w:kern w:val="2"/>
      <w:sz w:val="21"/>
      <w:szCs w:val="22"/>
    </w:rPr>
  </w:style>
  <w:style w:type="paragraph" w:customStyle="1" w:styleId="30">
    <w:name w:val="Normal_1"/>
    <w:next w:val="1"/>
    <w:qFormat/>
    <w:uiPriority w:val="1"/>
    <w:pPr>
      <w:widowControl w:val="0"/>
    </w:pPr>
    <w:rPr>
      <w:rFonts w:ascii="Arial" w:hAnsi="Arial" w:eastAsia="微软雅黑" w:cs="Times New Roman"/>
      <w:sz w:val="22"/>
      <w:szCs w:val="22"/>
      <w:lang w:val="en-US" w:eastAsia="en-US" w:bidi="ar-SA"/>
    </w:rPr>
  </w:style>
  <w:style w:type="paragraph" w:customStyle="1" w:styleId="31">
    <w:name w:val="List Paragraph_0"/>
    <w:basedOn w:val="32"/>
    <w:qFormat/>
    <w:uiPriority w:val="1"/>
    <w:pPr>
      <w:widowControl/>
      <w:ind w:firstLine="420"/>
    </w:pPr>
    <w:rPr>
      <w:rFonts w:cs="Calibri"/>
      <w:kern w:val="0"/>
      <w:szCs w:val="21"/>
    </w:rPr>
  </w:style>
  <w:style w:type="paragraph" w:customStyle="1" w:styleId="32">
    <w:name w:val="正文_13"/>
    <w:next w:val="33"/>
    <w:qFormat/>
    <w:uiPriority w:val="1"/>
    <w:pPr>
      <w:widowControl w:val="0"/>
      <w:jc w:val="both"/>
    </w:pPr>
    <w:rPr>
      <w:rFonts w:ascii="Calibri" w:hAnsi="Calibri" w:eastAsia="宋体" w:cs="Times New Roman"/>
      <w:kern w:val="2"/>
      <w:sz w:val="21"/>
      <w:szCs w:val="22"/>
      <w:lang w:val="en-US" w:eastAsia="zh-CN" w:bidi="ar-SA"/>
    </w:rPr>
  </w:style>
  <w:style w:type="paragraph" w:customStyle="1" w:styleId="33">
    <w:name w:val="正文文本_9"/>
    <w:basedOn w:val="32"/>
    <w:next w:val="32"/>
    <w:unhideWhenUsed/>
    <w:qFormat/>
    <w:uiPriority w:val="0"/>
    <w:pPr>
      <w:spacing w:after="120"/>
    </w:pPr>
  </w:style>
  <w:style w:type="paragraph" w:customStyle="1" w:styleId="34">
    <w:name w:val="正文_1"/>
    <w:qFormat/>
    <w:uiPriority w:val="0"/>
    <w:pPr>
      <w:widowControl w:val="0"/>
      <w:ind w:right="5" w:rightChars="5"/>
    </w:pPr>
    <w:rPr>
      <w:rFonts w:ascii="Times New Roman" w:hAnsi="Times New Roman" w:eastAsia="宋体" w:cs="Times New Roman"/>
      <w:sz w:val="22"/>
      <w:szCs w:val="22"/>
      <w:lang w:val="en-US" w:eastAsia="en-US" w:bidi="ar-SA"/>
    </w:rPr>
  </w:style>
  <w:style w:type="paragraph" w:customStyle="1" w:styleId="35">
    <w:name w:val="标题 2_1"/>
    <w:basedOn w:val="34"/>
    <w:next w:val="34"/>
    <w:unhideWhenUsed/>
    <w:qFormat/>
    <w:uiPriority w:val="1"/>
    <w:pPr>
      <w:spacing w:line="479" w:lineRule="exact"/>
      <w:ind w:right="0" w:rightChars="0"/>
      <w:outlineLvl w:val="1"/>
    </w:pPr>
    <w:rPr>
      <w:rFonts w:ascii="Microsoft YaHei UI" w:hAnsi="Microsoft YaHei UI" w:eastAsia="Microsoft YaHei UI" w:cs="宋体"/>
      <w:spacing w:val="2"/>
      <w:sz w:val="32"/>
      <w:szCs w:val="32"/>
      <w:lang w:eastAsia="zh-CN"/>
    </w:rPr>
  </w:style>
  <w:style w:type="paragraph" w:customStyle="1" w:styleId="36">
    <w:name w:val="正文首行缩进 21"/>
    <w:basedOn w:val="37"/>
    <w:unhideWhenUsed/>
    <w:qFormat/>
    <w:uiPriority w:val="0"/>
    <w:pPr>
      <w:ind w:firstLine="420" w:firstLineChars="200"/>
    </w:pPr>
    <w:rPr>
      <w:sz w:val="21"/>
      <w:szCs w:val="22"/>
    </w:rPr>
  </w:style>
  <w:style w:type="paragraph" w:customStyle="1" w:styleId="37">
    <w:name w:val="正文文本缩进1"/>
    <w:basedOn w:val="34"/>
    <w:qFormat/>
    <w:uiPriority w:val="0"/>
    <w:pPr>
      <w:widowControl/>
      <w:spacing w:after="120"/>
      <w:ind w:left="420" w:leftChars="200" w:right="0" w:rightChars="0"/>
      <w:jc w:val="both"/>
    </w:pPr>
    <w:rPr>
      <w:rFonts w:ascii="Calibri" w:hAnsi="Calibri"/>
      <w:kern w:val="2"/>
      <w:sz w:val="24"/>
      <w:szCs w:val="24"/>
      <w:lang w:val="zh-CN" w:eastAsia="zh-CN"/>
    </w:rPr>
  </w:style>
  <w:style w:type="character" w:customStyle="1" w:styleId="38">
    <w:name w:val="font51"/>
    <w:basedOn w:val="15"/>
    <w:qFormat/>
    <w:uiPriority w:val="0"/>
    <w:rPr>
      <w:rFonts w:hint="eastAsia" w:ascii="宋体" w:hAnsi="宋体" w:eastAsia="宋体" w:cs="宋体"/>
      <w:color w:val="000000"/>
      <w:sz w:val="16"/>
      <w:szCs w:val="16"/>
      <w:u w:val="none"/>
    </w:rPr>
  </w:style>
  <w:style w:type="character" w:customStyle="1" w:styleId="39">
    <w:name w:val="font81"/>
    <w:basedOn w:val="15"/>
    <w:qFormat/>
    <w:uiPriority w:val="0"/>
    <w:rPr>
      <w:rFonts w:hint="eastAsia" w:ascii="宋体" w:hAnsi="宋体" w:eastAsia="宋体" w:cs="宋体"/>
      <w:color w:val="000000"/>
      <w:sz w:val="16"/>
      <w:szCs w:val="16"/>
      <w:u w:val="none"/>
    </w:rPr>
  </w:style>
  <w:style w:type="character" w:customStyle="1" w:styleId="40">
    <w:name w:val="font31"/>
    <w:basedOn w:val="15"/>
    <w:qFormat/>
    <w:uiPriority w:val="0"/>
    <w:rPr>
      <w:rFonts w:hint="eastAsia" w:ascii="宋体" w:hAnsi="宋体" w:eastAsia="宋体" w:cs="宋体"/>
      <w:color w:val="000000"/>
      <w:sz w:val="16"/>
      <w:szCs w:val="16"/>
      <w:u w:val="none"/>
    </w:rPr>
  </w:style>
  <w:style w:type="character" w:customStyle="1" w:styleId="41">
    <w:name w:val="font91"/>
    <w:basedOn w:val="15"/>
    <w:qFormat/>
    <w:uiPriority w:val="0"/>
    <w:rPr>
      <w:rFonts w:ascii="宋体" w:hAnsi="宋体" w:eastAsia="宋体" w:cs="宋体"/>
      <w:color w:val="000000"/>
      <w:sz w:val="16"/>
      <w:szCs w:val="16"/>
      <w:u w:val="none"/>
    </w:rPr>
  </w:style>
  <w:style w:type="character" w:customStyle="1" w:styleId="42">
    <w:name w:val="font61"/>
    <w:basedOn w:val="1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3080</Words>
  <Characters>3968</Characters>
  <Lines>779</Lines>
  <Paragraphs>658</Paragraphs>
  <TotalTime>2</TotalTime>
  <ScaleCrop>false</ScaleCrop>
  <LinksUpToDate>false</LinksUpToDate>
  <CharactersWithSpaces>4144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2025-12-26T08:07:00Z</dcterms:created>
  <dc:creator>xulan</dc:creator>
  <cp:lastModifiedBy>Administrator</cp:lastModifiedBy>
  <cp:lastPrinted>2025-06-25T03:14:00Z</cp:lastPrinted>
  <dcterms:modified xsi:type="dcterms:W3CDTF">2026-09-08T07:16:21Z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AA035DBFE6204D8097BF079502DBB396</vt:lpwstr>
  </property>
  <property fmtid="{D5CDD505-2E9C-101B-9397-08002B2CF9AE}" pid="4" name="KSOTemplateDocerSaveRecord">
    <vt:lpwstr>eyJoZGlkIjoiYTVhMDYxMTVjZDNjNjg1ZjM3NDFlMmFkNTlmYjAwMDgiLCJ1c2VySWQiOiIxMDE4ODYxMjkwIn0=</vt:lpwstr>
  </property>
</Properties>
</file>