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055" w:hanging="1055" w:hangingChars="292"/>
        <w:jc w:val="center"/>
        <w:rPr>
          <w:rFonts w:ascii="宋体" w:hAnsi="宋体"/>
          <w:b/>
          <w:sz w:val="36"/>
          <w:szCs w:val="36"/>
        </w:rPr>
      </w:pPr>
      <w:bookmarkStart w:id="141" w:name="_GoBack"/>
      <w:bookmarkEnd w:id="141"/>
    </w:p>
    <w:p>
      <w:pPr>
        <w:spacing w:line="360" w:lineRule="auto"/>
        <w:ind w:left="1055" w:hanging="1055" w:hangingChars="292"/>
        <w:jc w:val="center"/>
        <w:rPr>
          <w:rFonts w:hint="eastAsia" w:ascii="宋体" w:hAnsi="宋体"/>
          <w:b/>
          <w:sz w:val="36"/>
          <w:szCs w:val="36"/>
        </w:rPr>
      </w:pPr>
    </w:p>
    <w:p>
      <w:pPr>
        <w:spacing w:line="360" w:lineRule="auto"/>
        <w:ind w:left="1290" w:hanging="1290" w:hangingChars="292"/>
        <w:jc w:val="center"/>
        <w:rPr>
          <w:rFonts w:hint="eastAsia" w:ascii="宋体" w:hAnsi="宋体"/>
          <w:b/>
          <w:sz w:val="44"/>
          <w:szCs w:val="44"/>
        </w:rPr>
      </w:pPr>
      <w:r>
        <w:rPr>
          <w:rFonts w:hint="eastAsia" w:ascii="宋体" w:hAnsi="宋体"/>
          <w:b/>
          <w:sz w:val="44"/>
          <w:szCs w:val="44"/>
        </w:rPr>
        <w:t>海洋石油富岛有限公司</w:t>
      </w:r>
    </w:p>
    <w:p>
      <w:pPr>
        <w:spacing w:line="360" w:lineRule="auto"/>
        <w:ind w:left="1290" w:hanging="1290" w:hangingChars="292"/>
        <w:jc w:val="center"/>
        <w:rPr>
          <w:rFonts w:hint="default" w:ascii="宋体" w:hAnsi="宋体" w:eastAsia="宋体"/>
          <w:b/>
          <w:sz w:val="44"/>
          <w:szCs w:val="44"/>
          <w:lang w:val="en-US" w:eastAsia="zh-CN"/>
        </w:rPr>
      </w:pPr>
      <w:r>
        <w:rPr>
          <w:rFonts w:hint="eastAsia" w:ascii="宋体" w:hAnsi="宋体"/>
          <w:b/>
          <w:sz w:val="44"/>
          <w:szCs w:val="44"/>
          <w:lang w:val="en-US" w:eastAsia="zh-CN"/>
        </w:rPr>
        <w:t>中海石油建滔化工有限公司</w:t>
      </w:r>
    </w:p>
    <w:p>
      <w:pPr>
        <w:spacing w:line="360" w:lineRule="auto"/>
        <w:ind w:left="616" w:hanging="616" w:hangingChars="292"/>
        <w:jc w:val="center"/>
        <w:rPr>
          <w:rFonts w:hint="eastAsia" w:ascii="宋体" w:hAnsi="宋体"/>
          <w:b/>
          <w:szCs w:val="21"/>
        </w:rPr>
      </w:pPr>
    </w:p>
    <w:p>
      <w:pPr>
        <w:spacing w:line="480" w:lineRule="auto"/>
        <w:jc w:val="center"/>
        <w:rPr>
          <w:rFonts w:hint="eastAsia" w:ascii="宋体" w:hAnsi="宋体"/>
          <w:b/>
          <w:bCs/>
          <w:sz w:val="48"/>
          <w:szCs w:val="48"/>
        </w:rPr>
      </w:pPr>
    </w:p>
    <w:p>
      <w:pPr>
        <w:spacing w:line="480" w:lineRule="auto"/>
        <w:jc w:val="center"/>
        <w:rPr>
          <w:rFonts w:hint="eastAsia" w:ascii="宋体" w:hAnsi="宋体"/>
          <w:b/>
          <w:bCs/>
          <w:sz w:val="44"/>
          <w:szCs w:val="44"/>
        </w:rPr>
      </w:pPr>
      <w:r>
        <w:rPr>
          <w:rFonts w:hint="eastAsia" w:ascii="宋体" w:hAnsi="宋体"/>
          <w:b/>
          <w:bCs/>
          <w:sz w:val="36"/>
          <w:szCs w:val="36"/>
        </w:rPr>
        <w:t>20</w:t>
      </w:r>
      <w:r>
        <w:rPr>
          <w:rFonts w:hint="eastAsia" w:ascii="宋体" w:hAnsi="宋体"/>
          <w:b/>
          <w:bCs/>
          <w:sz w:val="36"/>
          <w:szCs w:val="36"/>
          <w:lang w:val="en-US" w:eastAsia="zh-CN"/>
        </w:rPr>
        <w:t>26</w:t>
      </w:r>
      <w:r>
        <w:rPr>
          <w:rFonts w:hint="eastAsia" w:ascii="宋体" w:hAnsi="宋体"/>
          <w:b/>
          <w:bCs/>
          <w:sz w:val="36"/>
          <w:szCs w:val="36"/>
        </w:rPr>
        <w:t>年</w:t>
      </w:r>
      <w:r>
        <w:rPr>
          <w:rFonts w:hint="eastAsia" w:ascii="宋体" w:hAnsi="宋体"/>
          <w:b/>
          <w:bCs/>
          <w:sz w:val="36"/>
          <w:szCs w:val="36"/>
          <w:lang w:val="en-US" w:eastAsia="zh-CN"/>
        </w:rPr>
        <w:t>档案数据电子化</w:t>
      </w:r>
      <w:r>
        <w:rPr>
          <w:rFonts w:hint="eastAsia" w:ascii="宋体" w:hAnsi="宋体"/>
          <w:b/>
          <w:bCs/>
          <w:sz w:val="36"/>
          <w:szCs w:val="36"/>
        </w:rPr>
        <w:t>项目</w:t>
      </w:r>
    </w:p>
    <w:p>
      <w:pPr>
        <w:jc w:val="center"/>
        <w:rPr>
          <w:rFonts w:hint="eastAsia" w:ascii="宋体" w:hAnsi="宋体"/>
          <w:b/>
          <w:position w:val="-6"/>
          <w:sz w:val="28"/>
        </w:rPr>
      </w:pPr>
    </w:p>
    <w:p>
      <w:pPr>
        <w:jc w:val="center"/>
        <w:rPr>
          <w:rFonts w:hint="eastAsia" w:ascii="宋体" w:hAnsi="宋体"/>
          <w:b/>
          <w:position w:val="-6"/>
          <w:sz w:val="28"/>
        </w:rPr>
      </w:pPr>
    </w:p>
    <w:p>
      <w:pPr>
        <w:jc w:val="center"/>
        <w:rPr>
          <w:rFonts w:hint="eastAsia" w:ascii="宋体" w:hAnsi="宋体"/>
          <w:b/>
          <w:position w:val="-6"/>
          <w:sz w:val="28"/>
        </w:rPr>
      </w:pPr>
    </w:p>
    <w:p>
      <w:pPr>
        <w:jc w:val="center"/>
        <w:rPr>
          <w:rFonts w:ascii="宋体" w:hAnsi="宋体"/>
          <w:b/>
          <w:position w:val="-6"/>
          <w:sz w:val="28"/>
        </w:rPr>
      </w:pPr>
    </w:p>
    <w:p>
      <w:pPr>
        <w:spacing w:line="360" w:lineRule="auto"/>
        <w:ind w:left="315" w:hanging="315"/>
        <w:jc w:val="center"/>
        <w:rPr>
          <w:rFonts w:hint="eastAsia" w:ascii="宋体" w:hAnsi="宋体"/>
          <w:b/>
          <w:sz w:val="48"/>
          <w:szCs w:val="48"/>
        </w:rPr>
      </w:pPr>
      <w:r>
        <w:rPr>
          <w:rFonts w:hint="eastAsia" w:ascii="宋体" w:hAnsi="宋体"/>
          <w:b/>
          <w:sz w:val="48"/>
          <w:szCs w:val="48"/>
        </w:rPr>
        <w:t>技术询价文件</w:t>
      </w:r>
    </w:p>
    <w:p>
      <w:pPr>
        <w:spacing w:line="360" w:lineRule="auto"/>
        <w:ind w:left="315" w:hanging="315"/>
        <w:jc w:val="center"/>
        <w:rPr>
          <w:rFonts w:ascii="宋体" w:hAnsi="宋体"/>
          <w:b/>
          <w:sz w:val="48"/>
          <w:szCs w:val="48"/>
        </w:rPr>
      </w:pPr>
      <w:r>
        <w:rPr>
          <w:rFonts w:hint="eastAsia" w:ascii="宋体" w:hAnsi="宋体"/>
          <w:b/>
          <w:sz w:val="48"/>
          <w:szCs w:val="48"/>
        </w:rPr>
        <w:t>（服务类）</w:t>
      </w:r>
    </w:p>
    <w:p>
      <w:pPr>
        <w:spacing w:line="360" w:lineRule="auto"/>
        <w:ind w:left="315" w:hanging="315"/>
        <w:jc w:val="center"/>
        <w:rPr>
          <w:rFonts w:ascii="宋体" w:hAnsi="宋体"/>
          <w:b/>
          <w:sz w:val="48"/>
          <w:szCs w:val="48"/>
        </w:rPr>
      </w:pPr>
    </w:p>
    <w:p>
      <w:pPr>
        <w:spacing w:line="360" w:lineRule="auto"/>
        <w:ind w:left="315" w:hanging="315"/>
        <w:jc w:val="center"/>
        <w:rPr>
          <w:rFonts w:hint="eastAsia" w:ascii="宋体" w:hAnsi="宋体"/>
          <w:b/>
          <w:sz w:val="48"/>
          <w:szCs w:val="48"/>
        </w:rPr>
      </w:pPr>
    </w:p>
    <w:p>
      <w:pPr>
        <w:spacing w:line="360" w:lineRule="auto"/>
        <w:ind w:left="315" w:hanging="315"/>
        <w:jc w:val="center"/>
        <w:rPr>
          <w:rFonts w:hint="eastAsia" w:ascii="宋体" w:hAnsi="宋体"/>
          <w:b/>
          <w:sz w:val="48"/>
          <w:szCs w:val="48"/>
        </w:rPr>
      </w:pPr>
    </w:p>
    <w:p>
      <w:pPr>
        <w:rPr>
          <w:rFonts w:hint="eastAsia" w:ascii="宋体" w:hAnsi="宋体"/>
          <w:bCs/>
        </w:rPr>
      </w:pPr>
    </w:p>
    <w:p>
      <w:pPr>
        <w:jc w:val="center"/>
        <w:rPr>
          <w:rFonts w:ascii="宋体" w:hAnsi="宋体"/>
          <w:bCs/>
          <w:sz w:val="28"/>
          <w:szCs w:val="28"/>
        </w:rPr>
      </w:pPr>
      <w:r>
        <w:rPr>
          <w:rFonts w:hint="eastAsia" w:ascii="宋体" w:hAnsi="宋体"/>
          <w:bCs/>
          <w:sz w:val="28"/>
          <w:szCs w:val="28"/>
          <w:lang w:val="en-US" w:eastAsia="zh-CN"/>
        </w:rPr>
        <w:t>2026</w:t>
      </w:r>
      <w:r>
        <w:rPr>
          <w:rFonts w:hint="eastAsia" w:ascii="宋体" w:hAnsi="宋体"/>
          <w:bCs/>
          <w:sz w:val="28"/>
          <w:szCs w:val="28"/>
        </w:rPr>
        <w:t>年</w:t>
      </w:r>
      <w:r>
        <w:rPr>
          <w:rFonts w:hint="eastAsia" w:ascii="宋体" w:hAnsi="宋体"/>
          <w:bCs/>
          <w:sz w:val="28"/>
          <w:szCs w:val="28"/>
          <w:lang w:val="en-US" w:eastAsia="zh-CN"/>
        </w:rPr>
        <w:t>6</w:t>
      </w:r>
      <w:r>
        <w:rPr>
          <w:rFonts w:hint="eastAsia" w:ascii="宋体" w:hAnsi="宋体"/>
          <w:bCs/>
          <w:sz w:val="28"/>
          <w:szCs w:val="28"/>
        </w:rPr>
        <w:t>月</w:t>
      </w:r>
      <w:r>
        <w:rPr>
          <w:rFonts w:hint="eastAsia" w:ascii="宋体" w:hAnsi="宋体"/>
          <w:bCs/>
          <w:sz w:val="28"/>
          <w:szCs w:val="28"/>
          <w:lang w:val="en-US" w:eastAsia="zh-CN"/>
        </w:rPr>
        <w:t>20</w:t>
      </w:r>
      <w:r>
        <w:rPr>
          <w:rFonts w:hint="eastAsia" w:ascii="宋体" w:hAnsi="宋体"/>
          <w:bCs/>
          <w:sz w:val="28"/>
          <w:szCs w:val="28"/>
        </w:rPr>
        <w:t>日</w:t>
      </w:r>
    </w:p>
    <w:p>
      <w:pPr>
        <w:rPr>
          <w:rFonts w:hint="eastAsia" w:ascii="宋体" w:hAnsi="宋体"/>
          <w:bCs/>
          <w:sz w:val="28"/>
          <w:szCs w:val="28"/>
        </w:rPr>
      </w:pPr>
    </w:p>
    <w:p>
      <w:pPr>
        <w:rPr>
          <w:rFonts w:hint="eastAsia" w:ascii="宋体" w:hAnsi="宋体"/>
          <w:bCs/>
          <w:position w:val="-6"/>
        </w:rPr>
        <w:sectPr>
          <w:headerReference r:id="rId3" w:type="first"/>
          <w:footerReference r:id="rId4" w:type="even"/>
          <w:pgSz w:w="11906" w:h="16838"/>
          <w:pgMar w:top="1440" w:right="1558" w:bottom="936" w:left="1701" w:header="851" w:footer="992" w:gutter="0"/>
          <w:cols w:space="720" w:num="1"/>
          <w:docGrid w:linePitch="312" w:charSpace="0"/>
        </w:sectPr>
      </w:pPr>
    </w:p>
    <w:p>
      <w:pPr>
        <w:jc w:val="center"/>
        <w:rPr>
          <w:rFonts w:ascii="宋体" w:hAnsi="宋体"/>
          <w:b/>
          <w:sz w:val="24"/>
        </w:rPr>
      </w:pPr>
      <w:r>
        <w:rPr>
          <w:rFonts w:hint="eastAsia" w:ascii="宋体" w:hAnsi="宋体"/>
          <w:b/>
          <w:sz w:val="24"/>
        </w:rPr>
        <w:t>目</w:t>
      </w:r>
      <w:r>
        <w:rPr>
          <w:rFonts w:ascii="宋体" w:hAnsi="宋体"/>
          <w:b/>
          <w:sz w:val="24"/>
        </w:rPr>
        <w:t xml:space="preserve"> </w:t>
      </w:r>
      <w:r>
        <w:rPr>
          <w:rFonts w:hint="eastAsia" w:ascii="宋体" w:hAnsi="宋体"/>
          <w:b/>
          <w:sz w:val="24"/>
        </w:rPr>
        <w:t>录</w:t>
      </w:r>
    </w:p>
    <w:p>
      <w:pPr>
        <w:pStyle w:val="16"/>
        <w:tabs>
          <w:tab w:val="right" w:leader="dot" w:pos="8646"/>
          <w:tab w:val="clear" w:pos="8637"/>
        </w:tabs>
      </w:pPr>
      <w:r>
        <w:rPr>
          <w:rFonts w:ascii="宋体" w:hAnsi="宋体"/>
          <w:sz w:val="24"/>
          <w:szCs w:val="24"/>
        </w:rPr>
        <w:fldChar w:fldCharType="begin"/>
      </w:r>
      <w:r>
        <w:rPr>
          <w:rFonts w:ascii="宋体" w:hAnsi="宋体"/>
          <w:sz w:val="24"/>
          <w:szCs w:val="24"/>
        </w:rPr>
        <w:instrText xml:space="preserve"> TOC \o "1-3" \h \z \u </w:instrText>
      </w:r>
      <w:r>
        <w:rPr>
          <w:rFonts w:ascii="宋体" w:hAnsi="宋体"/>
          <w:sz w:val="24"/>
          <w:szCs w:val="24"/>
        </w:rPr>
        <w:fldChar w:fldCharType="separate"/>
      </w:r>
      <w:r>
        <w:rPr>
          <w:rFonts w:ascii="宋体" w:hAnsi="宋体" w:cs="Calibri"/>
          <w:bCs w:val="0"/>
          <w:caps w:val="0"/>
          <w:szCs w:val="24"/>
        </w:rPr>
        <w:fldChar w:fldCharType="begin"/>
      </w:r>
      <w:r>
        <w:rPr>
          <w:rFonts w:ascii="宋体" w:hAnsi="宋体" w:cs="Calibri"/>
          <w:bCs w:val="0"/>
          <w:caps w:val="0"/>
          <w:szCs w:val="24"/>
        </w:rPr>
        <w:instrText xml:space="preserve"> HYPERLINK \l _Toc181358427 </w:instrText>
      </w:r>
      <w:r>
        <w:rPr>
          <w:rFonts w:ascii="宋体" w:hAnsi="宋体" w:cs="Calibri"/>
          <w:bCs w:val="0"/>
          <w:caps w:val="0"/>
          <w:szCs w:val="24"/>
        </w:rPr>
        <w:fldChar w:fldCharType="separate"/>
      </w:r>
      <w:r>
        <w:rPr>
          <w:rFonts w:hint="eastAsia" w:ascii="宋体" w:hAnsi="宋体"/>
          <w:bCs w:val="0"/>
          <w:szCs w:val="21"/>
        </w:rPr>
        <w:t xml:space="preserve">1 </w:t>
      </w:r>
      <w:r>
        <w:rPr>
          <w:rFonts w:hint="eastAsia" w:ascii="宋体" w:hAnsi="宋体"/>
          <w:bCs/>
          <w:szCs w:val="21"/>
        </w:rPr>
        <w:t>总则</w:t>
      </w:r>
      <w:r>
        <w:tab/>
      </w:r>
      <w:r>
        <w:fldChar w:fldCharType="begin"/>
      </w:r>
      <w:r>
        <w:instrText xml:space="preserve"> PAGEREF _Toc181358427 \h </w:instrText>
      </w:r>
      <w:r>
        <w:fldChar w:fldCharType="separate"/>
      </w:r>
      <w:r>
        <w:t>1</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_Toc388546716 </w:instrText>
      </w:r>
      <w:r>
        <w:rPr>
          <w:rFonts w:ascii="宋体" w:hAnsi="宋体" w:cs="Calibri"/>
          <w:bCs w:val="0"/>
          <w:caps w:val="0"/>
          <w:szCs w:val="24"/>
        </w:rPr>
        <w:fldChar w:fldCharType="separate"/>
      </w:r>
      <w:r>
        <w:rPr>
          <w:rFonts w:hint="eastAsia" w:ascii="宋体" w:hAnsi="宋体"/>
          <w:bCs w:val="0"/>
          <w:szCs w:val="21"/>
        </w:rPr>
        <w:t xml:space="preserve">2 </w:t>
      </w:r>
      <w:r>
        <w:rPr>
          <w:rFonts w:hint="eastAsia" w:ascii="宋体" w:hAnsi="宋体"/>
          <w:bCs/>
          <w:szCs w:val="21"/>
        </w:rPr>
        <w:t>项目概况</w:t>
      </w:r>
      <w:r>
        <w:tab/>
      </w:r>
      <w:r>
        <w:fldChar w:fldCharType="begin"/>
      </w:r>
      <w:r>
        <w:instrText xml:space="preserve"> PAGEREF _Toc388546716 \h </w:instrText>
      </w:r>
      <w:r>
        <w:fldChar w:fldCharType="separate"/>
      </w:r>
      <w:r>
        <w:t>1</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_Toc1186554598 </w:instrText>
      </w:r>
      <w:r>
        <w:rPr>
          <w:rFonts w:ascii="宋体" w:hAnsi="宋体" w:cs="Calibri"/>
          <w:bCs w:val="0"/>
          <w:caps w:val="0"/>
          <w:szCs w:val="24"/>
        </w:rPr>
        <w:fldChar w:fldCharType="separate"/>
      </w:r>
      <w:r>
        <w:rPr>
          <w:rFonts w:hint="eastAsia" w:ascii="宋体" w:hAnsi="宋体"/>
          <w:bCs w:val="0"/>
          <w:szCs w:val="21"/>
        </w:rPr>
        <w:t xml:space="preserve">3 </w:t>
      </w:r>
      <w:r>
        <w:rPr>
          <w:rFonts w:hint="eastAsia" w:ascii="宋体" w:hAnsi="宋体"/>
          <w:bCs/>
          <w:szCs w:val="21"/>
        </w:rPr>
        <w:t>标准规范及技术要求</w:t>
      </w:r>
      <w:r>
        <w:tab/>
      </w:r>
      <w:r>
        <w:fldChar w:fldCharType="begin"/>
      </w:r>
      <w:r>
        <w:instrText xml:space="preserve"> PAGEREF _Toc1186554598 \h </w:instrText>
      </w:r>
      <w:r>
        <w:fldChar w:fldCharType="separate"/>
      </w:r>
      <w:r>
        <w:t>2</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_Toc18536823 </w:instrText>
      </w:r>
      <w:r>
        <w:rPr>
          <w:rFonts w:ascii="宋体" w:hAnsi="宋体" w:cs="Calibri"/>
          <w:bCs w:val="0"/>
          <w:caps w:val="0"/>
          <w:szCs w:val="24"/>
        </w:rPr>
        <w:fldChar w:fldCharType="separate"/>
      </w:r>
      <w:r>
        <w:rPr>
          <w:rFonts w:hint="eastAsia" w:ascii="宋体" w:hAnsi="宋体"/>
          <w:bCs w:val="0"/>
          <w:szCs w:val="21"/>
        </w:rPr>
        <w:t xml:space="preserve">3.1 </w:t>
      </w:r>
      <w:r>
        <w:rPr>
          <w:rFonts w:hint="eastAsia" w:ascii="宋体" w:hAnsi="宋体"/>
          <w:bCs/>
          <w:szCs w:val="21"/>
        </w:rPr>
        <w:t>标准规范</w:t>
      </w:r>
      <w:r>
        <w:tab/>
      </w:r>
      <w:r>
        <w:fldChar w:fldCharType="begin"/>
      </w:r>
      <w:r>
        <w:instrText xml:space="preserve"> PAGEREF _Toc18536823 \h </w:instrText>
      </w:r>
      <w:r>
        <w:fldChar w:fldCharType="separate"/>
      </w:r>
      <w:r>
        <w:t>2</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_Toc1012226289 </w:instrText>
      </w:r>
      <w:r>
        <w:rPr>
          <w:rFonts w:ascii="宋体" w:hAnsi="宋体" w:cs="Calibri"/>
          <w:bCs w:val="0"/>
          <w:caps w:val="0"/>
          <w:szCs w:val="24"/>
        </w:rPr>
        <w:fldChar w:fldCharType="separate"/>
      </w:r>
      <w:r>
        <w:rPr>
          <w:rFonts w:hint="eastAsia" w:ascii="宋体" w:hAnsi="宋体"/>
          <w:bCs w:val="0"/>
          <w:szCs w:val="21"/>
        </w:rPr>
        <w:t xml:space="preserve">3.2 </w:t>
      </w:r>
      <w:r>
        <w:rPr>
          <w:rFonts w:hint="eastAsia" w:ascii="宋体" w:hAnsi="宋体"/>
          <w:bCs/>
          <w:szCs w:val="21"/>
        </w:rPr>
        <w:t>技术要求</w:t>
      </w:r>
      <w:r>
        <w:tab/>
      </w:r>
      <w:r>
        <w:fldChar w:fldCharType="begin"/>
      </w:r>
      <w:r>
        <w:instrText xml:space="preserve"> PAGEREF _Toc1012226289 \h </w:instrText>
      </w:r>
      <w:r>
        <w:fldChar w:fldCharType="separate"/>
      </w:r>
      <w:r>
        <w:t>2</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_Toc1346650773 </w:instrText>
      </w:r>
      <w:r>
        <w:rPr>
          <w:rFonts w:ascii="宋体" w:hAnsi="宋体" w:cs="Calibri"/>
          <w:bCs w:val="0"/>
          <w:caps w:val="0"/>
          <w:szCs w:val="24"/>
        </w:rPr>
        <w:fldChar w:fldCharType="separate"/>
      </w:r>
      <w:r>
        <w:rPr>
          <w:rFonts w:hint="eastAsia" w:ascii="宋体" w:hAnsi="宋体"/>
          <w:bCs w:val="0"/>
          <w:szCs w:val="21"/>
        </w:rPr>
        <w:t xml:space="preserve">4 </w:t>
      </w:r>
      <w:r>
        <w:rPr>
          <w:rFonts w:hint="eastAsia" w:ascii="宋体" w:hAnsi="宋体"/>
          <w:bCs/>
          <w:szCs w:val="21"/>
        </w:rPr>
        <w:t>供货与服务范围</w:t>
      </w:r>
      <w:r>
        <w:tab/>
      </w:r>
      <w:r>
        <w:fldChar w:fldCharType="begin"/>
      </w:r>
      <w:r>
        <w:instrText xml:space="preserve"> PAGEREF _Toc1346650773 \h </w:instrText>
      </w:r>
      <w:r>
        <w:fldChar w:fldCharType="separate"/>
      </w:r>
      <w:r>
        <w:t>3</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_Toc1638702799 </w:instrText>
      </w:r>
      <w:r>
        <w:rPr>
          <w:rFonts w:ascii="宋体" w:hAnsi="宋体" w:cs="Calibri"/>
          <w:bCs w:val="0"/>
          <w:caps w:val="0"/>
          <w:szCs w:val="24"/>
        </w:rPr>
        <w:fldChar w:fldCharType="separate"/>
      </w:r>
      <w:r>
        <w:rPr>
          <w:rFonts w:hint="eastAsia" w:ascii="宋体" w:hAnsi="宋体" w:eastAsia="宋体"/>
          <w:bCs w:val="0"/>
          <w:szCs w:val="21"/>
        </w:rPr>
        <w:t xml:space="preserve">4.1 </w:t>
      </w:r>
      <w:r>
        <w:rPr>
          <w:rFonts w:hint="eastAsia"/>
          <w:szCs w:val="21"/>
        </w:rPr>
        <w:t>招标人供货范围</w:t>
      </w:r>
      <w:r>
        <w:tab/>
      </w:r>
      <w:r>
        <w:fldChar w:fldCharType="begin"/>
      </w:r>
      <w:r>
        <w:instrText xml:space="preserve"> PAGEREF _Toc1638702799 \h </w:instrText>
      </w:r>
      <w:r>
        <w:fldChar w:fldCharType="separate"/>
      </w:r>
      <w:r>
        <w:t>3</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_Toc495503058 </w:instrText>
      </w:r>
      <w:r>
        <w:rPr>
          <w:rFonts w:ascii="宋体" w:hAnsi="宋体" w:cs="Calibri"/>
          <w:bCs w:val="0"/>
          <w:caps w:val="0"/>
          <w:szCs w:val="24"/>
        </w:rPr>
        <w:fldChar w:fldCharType="separate"/>
      </w:r>
      <w:r>
        <w:rPr>
          <w:rFonts w:hint="eastAsia" w:ascii="宋体" w:hAnsi="宋体" w:eastAsia="宋体"/>
          <w:szCs w:val="21"/>
        </w:rPr>
        <w:t xml:space="preserve">4.2 </w:t>
      </w:r>
      <w:r>
        <w:rPr>
          <w:rFonts w:hint="eastAsia"/>
          <w:szCs w:val="21"/>
        </w:rPr>
        <w:t>投标人供货范围</w:t>
      </w:r>
      <w:r>
        <w:tab/>
      </w:r>
      <w:r>
        <w:fldChar w:fldCharType="begin"/>
      </w:r>
      <w:r>
        <w:instrText xml:space="preserve"> PAGEREF _Toc495503058 \h </w:instrText>
      </w:r>
      <w:r>
        <w:fldChar w:fldCharType="separate"/>
      </w:r>
      <w:r>
        <w:t>3</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_Toc1920157518 </w:instrText>
      </w:r>
      <w:r>
        <w:rPr>
          <w:rFonts w:ascii="宋体" w:hAnsi="宋体" w:cs="Calibri"/>
          <w:bCs w:val="0"/>
          <w:caps w:val="0"/>
          <w:szCs w:val="24"/>
        </w:rPr>
        <w:fldChar w:fldCharType="separate"/>
      </w:r>
      <w:r>
        <w:rPr>
          <w:rFonts w:hint="eastAsia" w:ascii="宋体" w:hAnsi="宋体" w:eastAsia="宋体"/>
          <w:szCs w:val="21"/>
        </w:rPr>
        <w:t xml:space="preserve">4.3 </w:t>
      </w:r>
      <w:r>
        <w:rPr>
          <w:rFonts w:hint="eastAsia"/>
          <w:szCs w:val="21"/>
        </w:rPr>
        <w:t>投标人供货要求</w:t>
      </w:r>
      <w:r>
        <w:tab/>
      </w:r>
      <w:r>
        <w:fldChar w:fldCharType="begin"/>
      </w:r>
      <w:r>
        <w:instrText xml:space="preserve"> PAGEREF _Toc1920157518 \h </w:instrText>
      </w:r>
      <w:r>
        <w:fldChar w:fldCharType="separate"/>
      </w:r>
      <w:r>
        <w:t>4</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_Toc872166574 </w:instrText>
      </w:r>
      <w:r>
        <w:rPr>
          <w:rFonts w:ascii="宋体" w:hAnsi="宋体" w:cs="Calibri"/>
          <w:bCs w:val="0"/>
          <w:caps w:val="0"/>
          <w:szCs w:val="24"/>
        </w:rPr>
        <w:fldChar w:fldCharType="separate"/>
      </w:r>
      <w:r>
        <w:rPr>
          <w:rFonts w:hint="eastAsia" w:ascii="宋体" w:hAnsi="宋体" w:eastAsia="宋体"/>
          <w:bCs w:val="0"/>
          <w:szCs w:val="21"/>
        </w:rPr>
        <w:t xml:space="preserve">4.4 </w:t>
      </w:r>
      <w:r>
        <w:rPr>
          <w:rFonts w:hint="eastAsia" w:ascii="宋体" w:hAnsi="宋体"/>
          <w:bCs/>
          <w:szCs w:val="21"/>
        </w:rPr>
        <w:t>拒收</w:t>
      </w:r>
      <w:r>
        <w:tab/>
      </w:r>
      <w:r>
        <w:fldChar w:fldCharType="begin"/>
      </w:r>
      <w:r>
        <w:instrText xml:space="preserve"> PAGEREF _Toc872166574 \h </w:instrText>
      </w:r>
      <w:r>
        <w:fldChar w:fldCharType="separate"/>
      </w:r>
      <w:r>
        <w:t>4</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_Toc208390096 </w:instrText>
      </w:r>
      <w:r>
        <w:rPr>
          <w:rFonts w:ascii="宋体" w:hAnsi="宋体" w:cs="Calibri"/>
          <w:bCs w:val="0"/>
          <w:caps w:val="0"/>
          <w:szCs w:val="24"/>
        </w:rPr>
        <w:fldChar w:fldCharType="separate"/>
      </w:r>
      <w:r>
        <w:rPr>
          <w:rFonts w:hint="eastAsia" w:ascii="宋体" w:hAnsi="宋体" w:eastAsia="宋体"/>
          <w:bCs w:val="0"/>
          <w:szCs w:val="21"/>
        </w:rPr>
        <w:t xml:space="preserve">4.5 </w:t>
      </w:r>
      <w:r>
        <w:rPr>
          <w:rFonts w:hint="eastAsia"/>
          <w:szCs w:val="21"/>
        </w:rPr>
        <w:t>投标人服务范围</w:t>
      </w:r>
      <w:r>
        <w:tab/>
      </w:r>
      <w:r>
        <w:fldChar w:fldCharType="begin"/>
      </w:r>
      <w:r>
        <w:instrText xml:space="preserve"> PAGEREF _Toc208390096 \h </w:instrText>
      </w:r>
      <w:r>
        <w:fldChar w:fldCharType="separate"/>
      </w:r>
      <w:r>
        <w:t>4</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_Toc1103869550 </w:instrText>
      </w:r>
      <w:r>
        <w:rPr>
          <w:rFonts w:ascii="宋体" w:hAnsi="宋体" w:cs="Calibri"/>
          <w:bCs w:val="0"/>
          <w:caps w:val="0"/>
          <w:szCs w:val="24"/>
        </w:rPr>
        <w:fldChar w:fldCharType="separate"/>
      </w:r>
      <w:r>
        <w:rPr>
          <w:rFonts w:hint="eastAsia" w:ascii="宋体" w:hAnsi="宋体" w:eastAsia="宋体"/>
          <w:bCs/>
          <w:szCs w:val="21"/>
        </w:rPr>
        <w:t xml:space="preserve">4.6 </w:t>
      </w:r>
      <w:r>
        <w:rPr>
          <w:rFonts w:hint="eastAsia" w:ascii="宋体" w:hAnsi="宋体"/>
          <w:bCs/>
          <w:szCs w:val="21"/>
          <w:lang w:eastAsia="zh-CN"/>
        </w:rPr>
        <w:t>计价</w:t>
      </w:r>
      <w:r>
        <w:tab/>
      </w:r>
      <w:r>
        <w:fldChar w:fldCharType="begin"/>
      </w:r>
      <w:r>
        <w:instrText xml:space="preserve"> PAGEREF _Toc1103869550 \h </w:instrText>
      </w:r>
      <w:r>
        <w:fldChar w:fldCharType="separate"/>
      </w:r>
      <w:r>
        <w:t>4</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_Toc11717258 </w:instrText>
      </w:r>
      <w:r>
        <w:rPr>
          <w:rFonts w:ascii="宋体" w:hAnsi="宋体" w:cs="Calibri"/>
          <w:bCs w:val="0"/>
          <w:caps w:val="0"/>
          <w:szCs w:val="24"/>
        </w:rPr>
        <w:fldChar w:fldCharType="separate"/>
      </w:r>
      <w:r>
        <w:rPr>
          <w:rFonts w:hint="eastAsia" w:ascii="宋体" w:hAnsi="宋体"/>
          <w:bCs w:val="0"/>
          <w:szCs w:val="21"/>
        </w:rPr>
        <w:t xml:space="preserve">5 </w:t>
      </w:r>
      <w:r>
        <w:rPr>
          <w:rFonts w:hint="eastAsia" w:ascii="宋体" w:hAnsi="宋体"/>
          <w:bCs/>
          <w:szCs w:val="21"/>
        </w:rPr>
        <w:t>交货期与工期要求</w:t>
      </w:r>
      <w:r>
        <w:tab/>
      </w:r>
      <w:r>
        <w:fldChar w:fldCharType="begin"/>
      </w:r>
      <w:r>
        <w:instrText xml:space="preserve"> PAGEREF _Toc11717258 \h </w:instrText>
      </w:r>
      <w:r>
        <w:fldChar w:fldCharType="separate"/>
      </w:r>
      <w:r>
        <w:t>5</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_Toc1067667127 </w:instrText>
      </w:r>
      <w:r>
        <w:rPr>
          <w:rFonts w:ascii="宋体" w:hAnsi="宋体" w:cs="Calibri"/>
          <w:bCs w:val="0"/>
          <w:caps w:val="0"/>
          <w:szCs w:val="24"/>
        </w:rPr>
        <w:fldChar w:fldCharType="separate"/>
      </w:r>
      <w:r>
        <w:rPr>
          <w:rFonts w:hint="eastAsia" w:ascii="宋体" w:hAnsi="宋体" w:eastAsia="宋体" w:cs="Times New Roman"/>
          <w:bCs w:val="0"/>
          <w:szCs w:val="21"/>
        </w:rPr>
        <w:t xml:space="preserve">6 </w:t>
      </w:r>
      <w:r>
        <w:rPr>
          <w:rFonts w:hint="eastAsia" w:ascii="宋体" w:hAnsi="宋体" w:eastAsia="宋体" w:cs="Times New Roman"/>
          <w:bCs/>
          <w:szCs w:val="21"/>
        </w:rPr>
        <w:t>检验</w:t>
      </w:r>
      <w:r>
        <w:tab/>
      </w:r>
      <w:r>
        <w:fldChar w:fldCharType="begin"/>
      </w:r>
      <w:r>
        <w:instrText xml:space="preserve"> PAGEREF _Toc1067667127 \h </w:instrText>
      </w:r>
      <w:r>
        <w:fldChar w:fldCharType="separate"/>
      </w:r>
      <w:r>
        <w:t>5</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_Toc793382192 </w:instrText>
      </w:r>
      <w:r>
        <w:rPr>
          <w:rFonts w:ascii="宋体" w:hAnsi="宋体" w:cs="Calibri"/>
          <w:bCs w:val="0"/>
          <w:caps w:val="0"/>
          <w:szCs w:val="24"/>
        </w:rPr>
        <w:fldChar w:fldCharType="separate"/>
      </w:r>
      <w:r>
        <w:rPr>
          <w:rFonts w:hint="eastAsia" w:ascii="宋体" w:hAnsi="宋体" w:eastAsia="宋体" w:cs="Times New Roman"/>
          <w:bCs w:val="0"/>
          <w:szCs w:val="21"/>
        </w:rPr>
        <w:t xml:space="preserve">7 </w:t>
      </w:r>
      <w:r>
        <w:rPr>
          <w:rFonts w:hint="eastAsia" w:ascii="宋体" w:hAnsi="宋体" w:eastAsia="宋体" w:cs="Times New Roman"/>
          <w:bCs/>
          <w:szCs w:val="21"/>
        </w:rPr>
        <w:t>技术投标文件要求</w:t>
      </w:r>
      <w:r>
        <w:tab/>
      </w:r>
      <w:r>
        <w:fldChar w:fldCharType="begin"/>
      </w:r>
      <w:r>
        <w:instrText xml:space="preserve"> PAGEREF _Toc793382192 \h </w:instrText>
      </w:r>
      <w:r>
        <w:fldChar w:fldCharType="separate"/>
      </w:r>
      <w:r>
        <w:t>5</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_Toc479519301 </w:instrText>
      </w:r>
      <w:r>
        <w:rPr>
          <w:rFonts w:ascii="宋体" w:hAnsi="宋体" w:cs="Calibri"/>
          <w:bCs w:val="0"/>
          <w:caps w:val="0"/>
          <w:szCs w:val="24"/>
        </w:rPr>
        <w:fldChar w:fldCharType="separate"/>
      </w:r>
      <w:r>
        <w:rPr>
          <w:rFonts w:hint="eastAsia"/>
        </w:rPr>
        <w:t>附件</w:t>
      </w:r>
      <w:r>
        <w:rPr>
          <w:rFonts w:hint="eastAsia"/>
          <w:lang w:val="en-US" w:eastAsia="zh-CN"/>
        </w:rPr>
        <w:t>1</w:t>
      </w:r>
      <w:r>
        <w:rPr>
          <w:rFonts w:hint="eastAsia"/>
        </w:rPr>
        <w:t>动员计划</w:t>
      </w:r>
      <w:r>
        <w:tab/>
      </w:r>
      <w:r>
        <w:fldChar w:fldCharType="begin"/>
      </w:r>
      <w:r>
        <w:instrText xml:space="preserve"> PAGEREF _Toc479519301 \h </w:instrText>
      </w:r>
      <w:r>
        <w:fldChar w:fldCharType="separate"/>
      </w:r>
      <w:r>
        <w:t>1</w:t>
      </w:r>
      <w:r>
        <w:fldChar w:fldCharType="end"/>
      </w:r>
      <w:r>
        <w:rPr>
          <w:rFonts w:ascii="宋体" w:hAnsi="宋体" w:cs="Calibri"/>
          <w:bCs w:val="0"/>
          <w:caps w:val="0"/>
          <w:szCs w:val="24"/>
        </w:rPr>
        <w:fldChar w:fldCharType="end"/>
      </w:r>
    </w:p>
    <w:p>
      <w:pPr>
        <w:pStyle w:val="16"/>
        <w:tabs>
          <w:tab w:val="right" w:leader="dot" w:pos="8646"/>
          <w:tab w:val="clear" w:pos="8637"/>
        </w:tabs>
      </w:pPr>
      <w:r>
        <w:rPr>
          <w:rFonts w:ascii="宋体" w:hAnsi="宋体" w:cs="Calibri"/>
          <w:bCs w:val="0"/>
          <w:caps w:val="0"/>
          <w:szCs w:val="24"/>
        </w:rPr>
        <w:fldChar w:fldCharType="begin"/>
      </w:r>
      <w:r>
        <w:rPr>
          <w:rFonts w:ascii="宋体" w:hAnsi="宋体" w:cs="Calibri"/>
          <w:bCs w:val="0"/>
          <w:caps w:val="0"/>
          <w:szCs w:val="24"/>
        </w:rPr>
        <w:instrText xml:space="preserve"> HYPERLINK \l _Toc676149136 </w:instrText>
      </w:r>
      <w:r>
        <w:rPr>
          <w:rFonts w:ascii="宋体" w:hAnsi="宋体" w:cs="Calibri"/>
          <w:bCs w:val="0"/>
          <w:caps w:val="0"/>
          <w:szCs w:val="24"/>
        </w:rPr>
        <w:fldChar w:fldCharType="separate"/>
      </w:r>
      <w:r>
        <w:rPr>
          <w:rFonts w:hint="eastAsia"/>
        </w:rPr>
        <w:t>附件</w:t>
      </w:r>
      <w:r>
        <w:rPr>
          <w:rFonts w:hint="eastAsia"/>
          <w:lang w:val="en-US" w:eastAsia="zh-CN"/>
        </w:rPr>
        <w:t>2</w:t>
      </w:r>
      <w:r>
        <w:rPr>
          <w:rFonts w:hint="eastAsia"/>
        </w:rPr>
        <w:t xml:space="preserve"> 技术偏离表</w:t>
      </w:r>
      <w:r>
        <w:tab/>
      </w:r>
      <w:r>
        <w:fldChar w:fldCharType="begin"/>
      </w:r>
      <w:r>
        <w:instrText xml:space="preserve"> PAGEREF _Toc676149136 \h </w:instrText>
      </w:r>
      <w:r>
        <w:fldChar w:fldCharType="separate"/>
      </w:r>
      <w:r>
        <w:t>1</w:t>
      </w:r>
      <w:r>
        <w:fldChar w:fldCharType="end"/>
      </w:r>
      <w:r>
        <w:rPr>
          <w:rFonts w:ascii="宋体" w:hAnsi="宋体" w:cs="Calibri"/>
          <w:bCs w:val="0"/>
          <w:caps w:val="0"/>
          <w:szCs w:val="24"/>
        </w:rPr>
        <w:fldChar w:fldCharType="end"/>
      </w:r>
    </w:p>
    <w:p>
      <w:pPr>
        <w:pStyle w:val="36"/>
        <w:numPr>
          <w:ilvl w:val="0"/>
          <w:numId w:val="4"/>
        </w:numPr>
        <w:tabs>
          <w:tab w:val="left" w:pos="426"/>
        </w:tabs>
        <w:suppressAutoHyphens w:val="0"/>
        <w:spacing w:line="360" w:lineRule="auto"/>
        <w:ind w:left="420" w:hanging="420"/>
        <w:outlineLvl w:val="0"/>
        <w:rPr>
          <w:rFonts w:hint="eastAsia" w:ascii="宋体" w:hAnsi="宋体"/>
          <w:b/>
          <w:bCs/>
          <w:color w:val="000000"/>
          <w:sz w:val="21"/>
          <w:szCs w:val="21"/>
        </w:rPr>
        <w:sectPr>
          <w:headerReference r:id="rId5" w:type="default"/>
          <w:footerReference r:id="rId6" w:type="default"/>
          <w:pgSz w:w="11906" w:h="16838"/>
          <w:pgMar w:top="1440" w:right="1559" w:bottom="936" w:left="1701" w:header="851" w:footer="567" w:gutter="0"/>
          <w:pgNumType w:start="1"/>
          <w:cols w:space="720" w:num="1"/>
          <w:docGrid w:linePitch="312" w:charSpace="0"/>
        </w:sectPr>
      </w:pPr>
      <w:r>
        <w:rPr>
          <w:rFonts w:ascii="宋体" w:hAnsi="宋体" w:cs="Calibri"/>
          <w:bCs/>
          <w:caps/>
          <w:szCs w:val="24"/>
        </w:rPr>
        <w:fldChar w:fldCharType="end"/>
      </w:r>
      <w:bookmarkStart w:id="0" w:name="_Toc38896845"/>
      <w:bookmarkStart w:id="1" w:name="_Toc896688626"/>
      <w:bookmarkStart w:id="2" w:name="_Toc44180316"/>
    </w:p>
    <w:p>
      <w:pPr>
        <w:pStyle w:val="36"/>
        <w:numPr>
          <w:ilvl w:val="0"/>
          <w:numId w:val="5"/>
        </w:numPr>
        <w:tabs>
          <w:tab w:val="left" w:pos="426"/>
        </w:tabs>
        <w:suppressAutoHyphens w:val="0"/>
        <w:spacing w:line="360" w:lineRule="auto"/>
        <w:outlineLvl w:val="0"/>
        <w:rPr>
          <w:rFonts w:hint="eastAsia" w:ascii="宋体" w:hAnsi="宋体"/>
          <w:b/>
          <w:bCs/>
          <w:color w:val="000000"/>
          <w:sz w:val="21"/>
          <w:szCs w:val="21"/>
        </w:rPr>
      </w:pPr>
      <w:bookmarkStart w:id="3" w:name="_Toc1984662043"/>
      <w:bookmarkStart w:id="4" w:name="_Toc181358427"/>
      <w:r>
        <w:rPr>
          <w:rFonts w:hint="eastAsia" w:ascii="宋体" w:hAnsi="宋体"/>
          <w:b/>
          <w:bCs/>
          <w:color w:val="000000"/>
          <w:sz w:val="21"/>
          <w:szCs w:val="21"/>
        </w:rPr>
        <w:t>总则</w:t>
      </w:r>
      <w:bookmarkEnd w:id="0"/>
      <w:bookmarkEnd w:id="1"/>
      <w:bookmarkEnd w:id="2"/>
      <w:bookmarkEnd w:id="3"/>
      <w:bookmarkEnd w:id="4"/>
    </w:p>
    <w:p>
      <w:pPr>
        <w:spacing w:line="360" w:lineRule="auto"/>
        <w:ind w:firstLine="424" w:firstLineChars="202"/>
        <w:rPr>
          <w:rFonts w:ascii="宋体" w:hAnsi="宋体"/>
          <w:color w:val="000000"/>
          <w:szCs w:val="21"/>
        </w:rPr>
      </w:pPr>
      <w:r>
        <w:rPr>
          <w:rFonts w:ascii="宋体" w:hAnsi="宋体"/>
          <w:color w:val="000000"/>
          <w:szCs w:val="21"/>
        </w:rPr>
        <w:t>本</w:t>
      </w:r>
      <w:r>
        <w:rPr>
          <w:rFonts w:hint="eastAsia" w:ascii="宋体" w:hAnsi="宋体"/>
          <w:color w:val="000000"/>
          <w:szCs w:val="21"/>
        </w:rPr>
        <w:t>技术询价文件仅适用于</w:t>
      </w:r>
      <w:r>
        <w:rPr>
          <w:rFonts w:hint="eastAsia" w:ascii="宋体" w:hAnsi="宋体" w:eastAsia="宋体" w:cs="Times New Roman"/>
          <w:b/>
          <w:i/>
          <w:color w:val="000000"/>
          <w:szCs w:val="21"/>
        </w:rPr>
        <w:t>海洋石油富岛有限公司/中海石油建滔化工有限公司</w:t>
      </w:r>
      <w:r>
        <w:rPr>
          <w:rFonts w:hint="eastAsia" w:ascii="宋体" w:hAnsi="宋体" w:eastAsia="宋体" w:cs="Times New Roman"/>
          <w:b/>
          <w:i/>
          <w:color w:val="000000"/>
          <w:szCs w:val="21"/>
          <w:lang w:val="en-US" w:eastAsia="zh-CN"/>
        </w:rPr>
        <w:t>2026年</w:t>
      </w:r>
      <w:r>
        <w:rPr>
          <w:rFonts w:hint="eastAsia" w:ascii="宋体" w:hAnsi="宋体" w:eastAsia="宋体" w:cs="Times New Roman"/>
          <w:b/>
          <w:i/>
          <w:color w:val="000000"/>
          <w:szCs w:val="21"/>
        </w:rPr>
        <w:t>档案数据电子化项目</w:t>
      </w:r>
      <w:r>
        <w:rPr>
          <w:rFonts w:hint="eastAsia" w:ascii="宋体" w:hAnsi="宋体"/>
          <w:b/>
          <w:i/>
          <w:color w:val="000000"/>
          <w:szCs w:val="21"/>
        </w:rPr>
        <w:t>的采办</w:t>
      </w:r>
      <w:r>
        <w:rPr>
          <w:rFonts w:ascii="宋体" w:hAnsi="宋体"/>
          <w:color w:val="000000"/>
          <w:szCs w:val="21"/>
        </w:rPr>
        <w:t>。它</w:t>
      </w:r>
      <w:r>
        <w:rPr>
          <w:rFonts w:hint="eastAsia" w:ascii="宋体" w:hAnsi="宋体"/>
          <w:color w:val="000000"/>
          <w:szCs w:val="21"/>
        </w:rPr>
        <w:t>规定</w:t>
      </w:r>
      <w:r>
        <w:rPr>
          <w:rFonts w:ascii="宋体" w:hAnsi="宋体"/>
          <w:color w:val="000000"/>
          <w:szCs w:val="21"/>
        </w:rPr>
        <w:t>了该</w:t>
      </w:r>
      <w:r>
        <w:rPr>
          <w:rFonts w:hint="eastAsia" w:ascii="宋体" w:hAnsi="宋体"/>
          <w:color w:val="000000"/>
          <w:szCs w:val="21"/>
        </w:rPr>
        <w:t>项目采办在标准规范与技术要求、供货与服务范围、交货期与工期、检验与试验、售后服务、投标</w:t>
      </w:r>
      <w:r>
        <w:rPr>
          <w:rFonts w:ascii="宋体" w:hAnsi="宋体"/>
          <w:color w:val="000000"/>
          <w:szCs w:val="21"/>
        </w:rPr>
        <w:t>技术文件、</w:t>
      </w:r>
      <w:r>
        <w:rPr>
          <w:rFonts w:hint="eastAsia" w:ascii="宋体" w:hAnsi="宋体"/>
          <w:color w:val="000000"/>
          <w:szCs w:val="21"/>
        </w:rPr>
        <w:t>完工资料等方面的具体要求</w:t>
      </w:r>
    </w:p>
    <w:p>
      <w:pPr>
        <w:numPr>
          <w:ilvl w:val="0"/>
          <w:numId w:val="6"/>
        </w:numPr>
        <w:spacing w:line="360" w:lineRule="auto"/>
        <w:ind w:left="0" w:firstLine="0"/>
        <w:rPr>
          <w:rFonts w:hint="eastAsia" w:ascii="宋体" w:hAnsi="宋体"/>
          <w:szCs w:val="21"/>
        </w:rPr>
      </w:pPr>
      <w:r>
        <w:rPr>
          <w:rFonts w:ascii="宋体" w:hAnsi="宋体"/>
          <w:szCs w:val="21"/>
        </w:rPr>
        <w:t>本</w:t>
      </w:r>
      <w:r>
        <w:rPr>
          <w:rFonts w:hint="eastAsia" w:ascii="宋体" w:hAnsi="宋体"/>
          <w:szCs w:val="21"/>
        </w:rPr>
        <w:t>技术询价文件</w:t>
      </w:r>
      <w:r>
        <w:rPr>
          <w:rFonts w:ascii="宋体" w:hAnsi="宋体"/>
          <w:szCs w:val="21"/>
        </w:rPr>
        <w:t>提出的是最低限度的技术要求，并未对一切技术细节</w:t>
      </w:r>
      <w:r>
        <w:rPr>
          <w:rFonts w:hint="eastAsia" w:ascii="宋体" w:hAnsi="宋体"/>
          <w:szCs w:val="21"/>
        </w:rPr>
        <w:t>做</w:t>
      </w:r>
      <w:r>
        <w:rPr>
          <w:rFonts w:ascii="宋体" w:hAnsi="宋体"/>
          <w:szCs w:val="21"/>
        </w:rPr>
        <w:t>出规定，也未引述</w:t>
      </w:r>
      <w:r>
        <w:rPr>
          <w:rFonts w:hint="eastAsia" w:ascii="宋体" w:hAnsi="宋体"/>
          <w:szCs w:val="21"/>
        </w:rPr>
        <w:t>全部</w:t>
      </w:r>
      <w:r>
        <w:rPr>
          <w:rFonts w:ascii="宋体" w:hAnsi="宋体"/>
          <w:szCs w:val="21"/>
        </w:rPr>
        <w:t>有关标准规范的条文，</w:t>
      </w:r>
      <w:r>
        <w:rPr>
          <w:rFonts w:hint="eastAsia" w:ascii="宋体" w:hAnsi="宋体"/>
          <w:szCs w:val="21"/>
        </w:rPr>
        <w:t>投标人应按本技术询价文件的要求进行投标，并</w:t>
      </w:r>
      <w:r>
        <w:rPr>
          <w:rFonts w:ascii="宋体" w:hAnsi="宋体"/>
          <w:szCs w:val="21"/>
        </w:rPr>
        <w:t>应提供符合本</w:t>
      </w:r>
      <w:r>
        <w:rPr>
          <w:rFonts w:hint="eastAsia" w:ascii="宋体" w:hAnsi="宋体"/>
          <w:szCs w:val="21"/>
        </w:rPr>
        <w:t>技术询价文件</w:t>
      </w:r>
      <w:r>
        <w:rPr>
          <w:rFonts w:ascii="宋体" w:hAnsi="宋体"/>
          <w:szCs w:val="21"/>
        </w:rPr>
        <w:t>和有关标准规范的优质</w:t>
      </w:r>
      <w:r>
        <w:rPr>
          <w:rFonts w:hint="eastAsia" w:ascii="宋体" w:hAnsi="宋体"/>
          <w:szCs w:val="21"/>
        </w:rPr>
        <w:t>服务及其备件材料。对国家有关安全、环保等强制性标准，投标人必须满足。</w:t>
      </w:r>
    </w:p>
    <w:p>
      <w:pPr>
        <w:numPr>
          <w:ilvl w:val="0"/>
          <w:numId w:val="6"/>
        </w:numPr>
        <w:spacing w:line="360" w:lineRule="auto"/>
        <w:ind w:left="0" w:firstLine="0"/>
        <w:rPr>
          <w:rFonts w:ascii="宋体" w:hAnsi="宋体"/>
          <w:szCs w:val="21"/>
        </w:rPr>
      </w:pPr>
      <w:r>
        <w:rPr>
          <w:rFonts w:hint="eastAsia" w:ascii="宋体" w:hAnsi="宋体"/>
          <w:szCs w:val="21"/>
        </w:rPr>
        <w:t>任何偏差都应取得招标人的书面确认，否则招标人将认为投标人已经认可了本技术询价文件中的所有要求。</w:t>
      </w:r>
      <w:r>
        <w:rPr>
          <w:rFonts w:ascii="宋体" w:hAnsi="宋体"/>
          <w:szCs w:val="21"/>
        </w:rPr>
        <w:t>如果</w:t>
      </w:r>
      <w:r>
        <w:rPr>
          <w:rFonts w:hint="eastAsia" w:ascii="宋体" w:hAnsi="宋体"/>
          <w:szCs w:val="21"/>
        </w:rPr>
        <w:t>投标人</w:t>
      </w:r>
      <w:r>
        <w:rPr>
          <w:rFonts w:ascii="宋体" w:hAnsi="宋体"/>
          <w:szCs w:val="21"/>
        </w:rPr>
        <w:t>没有以书面形式对本</w:t>
      </w:r>
      <w:r>
        <w:rPr>
          <w:rFonts w:hint="eastAsia" w:ascii="宋体" w:hAnsi="宋体"/>
          <w:szCs w:val="21"/>
        </w:rPr>
        <w:t>技术询价文件</w:t>
      </w:r>
      <w:r>
        <w:rPr>
          <w:rFonts w:ascii="宋体" w:hAnsi="宋体"/>
          <w:szCs w:val="21"/>
        </w:rPr>
        <w:t>的条文提出异议，则意味着</w:t>
      </w:r>
      <w:r>
        <w:rPr>
          <w:rFonts w:hint="eastAsia" w:ascii="宋体" w:hAnsi="宋体"/>
          <w:szCs w:val="21"/>
        </w:rPr>
        <w:t>投标人</w:t>
      </w:r>
      <w:r>
        <w:rPr>
          <w:rFonts w:ascii="宋体" w:hAnsi="宋体"/>
          <w:szCs w:val="21"/>
        </w:rPr>
        <w:t>提供的</w:t>
      </w:r>
      <w:r>
        <w:rPr>
          <w:rFonts w:hint="eastAsia" w:ascii="宋体" w:hAnsi="宋体"/>
          <w:szCs w:val="21"/>
        </w:rPr>
        <w:t>服务及备件材料</w:t>
      </w:r>
      <w:r>
        <w:rPr>
          <w:rFonts w:ascii="宋体" w:hAnsi="宋体"/>
          <w:szCs w:val="21"/>
        </w:rPr>
        <w:t>完全符合本</w:t>
      </w:r>
      <w:r>
        <w:rPr>
          <w:rFonts w:hint="eastAsia" w:ascii="宋体" w:hAnsi="宋体"/>
          <w:szCs w:val="21"/>
        </w:rPr>
        <w:t>技术询价文件</w:t>
      </w:r>
      <w:r>
        <w:rPr>
          <w:rFonts w:ascii="宋体" w:hAnsi="宋体"/>
          <w:szCs w:val="21"/>
        </w:rPr>
        <w:t>的</w:t>
      </w:r>
      <w:r>
        <w:rPr>
          <w:rFonts w:hint="eastAsia" w:ascii="宋体" w:hAnsi="宋体"/>
          <w:szCs w:val="21"/>
        </w:rPr>
        <w:t>明确的和潜在</w:t>
      </w:r>
      <w:r>
        <w:rPr>
          <w:rFonts w:ascii="宋体" w:hAnsi="宋体"/>
          <w:szCs w:val="21"/>
        </w:rPr>
        <w:t>要求</w:t>
      </w:r>
      <w:r>
        <w:rPr>
          <w:rFonts w:hint="eastAsia" w:ascii="宋体" w:hAnsi="宋体"/>
          <w:szCs w:val="21"/>
        </w:rPr>
        <w:t>，</w:t>
      </w:r>
      <w:r>
        <w:rPr>
          <w:rFonts w:ascii="宋体" w:hAnsi="宋体"/>
          <w:szCs w:val="21"/>
        </w:rPr>
        <w:t>如有异议应在以“</w:t>
      </w:r>
      <w:r>
        <w:rPr>
          <w:rFonts w:hint="eastAsia" w:ascii="宋体" w:hAnsi="宋体"/>
          <w:szCs w:val="21"/>
        </w:rPr>
        <w:t>技术偏离表</w:t>
      </w:r>
      <w:r>
        <w:rPr>
          <w:rFonts w:ascii="宋体" w:hAnsi="宋体"/>
          <w:szCs w:val="21"/>
        </w:rPr>
        <w:t>”为标题的专门</w:t>
      </w:r>
      <w:r>
        <w:rPr>
          <w:rFonts w:hint="eastAsia" w:ascii="宋体" w:hAnsi="宋体"/>
          <w:szCs w:val="21"/>
        </w:rPr>
        <w:t>文件</w:t>
      </w:r>
      <w:r>
        <w:rPr>
          <w:rFonts w:ascii="宋体" w:hAnsi="宋体"/>
          <w:szCs w:val="21"/>
        </w:rPr>
        <w:t>中加以详细描述。</w:t>
      </w:r>
    </w:p>
    <w:p>
      <w:pPr>
        <w:numPr>
          <w:ilvl w:val="0"/>
          <w:numId w:val="6"/>
        </w:numPr>
        <w:spacing w:line="360" w:lineRule="auto"/>
        <w:ind w:left="0" w:firstLine="0"/>
        <w:rPr>
          <w:rFonts w:ascii="宋体" w:hAnsi="宋体"/>
          <w:szCs w:val="21"/>
        </w:rPr>
      </w:pPr>
      <w:r>
        <w:rPr>
          <w:rFonts w:ascii="宋体" w:hAnsi="宋体"/>
          <w:szCs w:val="21"/>
        </w:rPr>
        <w:t>本</w:t>
      </w:r>
      <w:r>
        <w:rPr>
          <w:rFonts w:hint="eastAsia" w:ascii="宋体" w:hAnsi="宋体"/>
          <w:szCs w:val="21"/>
        </w:rPr>
        <w:t>技术询价文件</w:t>
      </w:r>
      <w:r>
        <w:rPr>
          <w:rFonts w:ascii="宋体" w:hAnsi="宋体"/>
          <w:szCs w:val="21"/>
        </w:rPr>
        <w:t>所使用的标准</w:t>
      </w:r>
      <w:r>
        <w:rPr>
          <w:rFonts w:hint="eastAsia" w:ascii="宋体" w:hAnsi="宋体"/>
          <w:szCs w:val="21"/>
        </w:rPr>
        <w:t xml:space="preserve">规范 </w:t>
      </w:r>
      <w:r>
        <w:rPr>
          <w:rFonts w:ascii="宋体" w:hAnsi="宋体"/>
          <w:szCs w:val="21"/>
        </w:rPr>
        <w:t>如遇与</w:t>
      </w:r>
      <w:r>
        <w:rPr>
          <w:rFonts w:hint="eastAsia" w:ascii="宋体" w:hAnsi="宋体"/>
          <w:szCs w:val="21"/>
        </w:rPr>
        <w:t>投标人</w:t>
      </w:r>
      <w:r>
        <w:rPr>
          <w:rFonts w:ascii="宋体" w:hAnsi="宋体"/>
          <w:szCs w:val="21"/>
        </w:rPr>
        <w:t>所执行的标准发生矛盾时，按较高标准执行。在合同签订后，</w:t>
      </w:r>
      <w:r>
        <w:rPr>
          <w:rFonts w:hint="eastAsia" w:ascii="宋体" w:hAnsi="宋体"/>
          <w:szCs w:val="21"/>
        </w:rPr>
        <w:t>招标人</w:t>
      </w:r>
      <w:r>
        <w:rPr>
          <w:rFonts w:ascii="宋体" w:hAnsi="宋体"/>
          <w:szCs w:val="21"/>
        </w:rPr>
        <w:t>有权提出因标准规范发生变化</w:t>
      </w:r>
      <w:r>
        <w:rPr>
          <w:rFonts w:hint="eastAsia" w:ascii="宋体" w:hAnsi="宋体"/>
          <w:szCs w:val="21"/>
        </w:rPr>
        <w:t>或招标人实际工作需要</w:t>
      </w:r>
      <w:r>
        <w:rPr>
          <w:rFonts w:ascii="宋体" w:hAnsi="宋体"/>
          <w:szCs w:val="21"/>
        </w:rPr>
        <w:t>而产生的修订要求，具体事宜由</w:t>
      </w:r>
      <w:r>
        <w:rPr>
          <w:rFonts w:hint="eastAsia" w:ascii="宋体" w:hAnsi="宋体"/>
          <w:szCs w:val="21"/>
        </w:rPr>
        <w:t>招投标</w:t>
      </w:r>
      <w:r>
        <w:rPr>
          <w:rFonts w:ascii="宋体" w:hAnsi="宋体"/>
          <w:szCs w:val="21"/>
        </w:rPr>
        <w:t>双方协商确定。</w:t>
      </w:r>
    </w:p>
    <w:p>
      <w:pPr>
        <w:numPr>
          <w:ilvl w:val="0"/>
          <w:numId w:val="6"/>
        </w:numPr>
        <w:spacing w:line="360" w:lineRule="auto"/>
        <w:ind w:left="0" w:firstLine="0"/>
        <w:rPr>
          <w:rFonts w:hint="eastAsia" w:ascii="宋体" w:hAnsi="宋体"/>
          <w:szCs w:val="21"/>
        </w:rPr>
      </w:pPr>
      <w:r>
        <w:rPr>
          <w:rFonts w:hint="eastAsia" w:ascii="宋体" w:hAnsi="宋体"/>
          <w:szCs w:val="21"/>
        </w:rPr>
        <w:t>当招标人的有关技术文件发生相互矛盾或抵触时，将按照下列顺序优先执行：标准规范及有关技术文件、详细设计图纸、工程量清单、工程报价单或预算书。</w:t>
      </w:r>
    </w:p>
    <w:p>
      <w:pPr>
        <w:numPr>
          <w:ilvl w:val="0"/>
          <w:numId w:val="6"/>
        </w:numPr>
        <w:spacing w:line="360" w:lineRule="auto"/>
        <w:ind w:left="0" w:firstLine="0"/>
        <w:rPr>
          <w:rFonts w:hint="eastAsia" w:ascii="宋体" w:hAnsi="宋体"/>
          <w:szCs w:val="21"/>
        </w:rPr>
      </w:pPr>
      <w:r>
        <w:rPr>
          <w:rFonts w:hint="eastAsia" w:ascii="宋体" w:hAnsi="宋体"/>
          <w:szCs w:val="21"/>
        </w:rPr>
        <w:t>招标人对投标人技术文件的审核，并不能减轻或取消投标人对所供设备或服务应承担的责任和义务。</w:t>
      </w:r>
    </w:p>
    <w:p>
      <w:pPr>
        <w:numPr>
          <w:ilvl w:val="0"/>
          <w:numId w:val="6"/>
        </w:numPr>
        <w:spacing w:line="360" w:lineRule="auto"/>
        <w:ind w:left="0" w:firstLine="0"/>
        <w:rPr>
          <w:rFonts w:hint="eastAsia" w:ascii="宋体" w:hAnsi="宋体"/>
          <w:szCs w:val="21"/>
        </w:rPr>
      </w:pPr>
      <w:r>
        <w:rPr>
          <w:rFonts w:hint="eastAsia" w:ascii="宋体" w:hAnsi="宋体"/>
          <w:szCs w:val="21"/>
        </w:rPr>
        <w:t>投标人所提供的服务</w:t>
      </w:r>
      <w:r>
        <w:rPr>
          <w:rFonts w:ascii="宋体" w:hAnsi="宋体"/>
          <w:szCs w:val="21"/>
        </w:rPr>
        <w:t>及备件材料</w:t>
      </w:r>
      <w:r>
        <w:rPr>
          <w:rFonts w:hint="eastAsia" w:ascii="宋体" w:hAnsi="宋体"/>
          <w:szCs w:val="21"/>
        </w:rPr>
        <w:t>，必须完全满足招标人技术询价文件及标准规范要求，并对所供服务及</w:t>
      </w:r>
      <w:r>
        <w:rPr>
          <w:rFonts w:ascii="宋体" w:hAnsi="宋体"/>
          <w:szCs w:val="21"/>
        </w:rPr>
        <w:t>备件材料</w:t>
      </w:r>
      <w:r>
        <w:rPr>
          <w:rFonts w:hint="eastAsia" w:ascii="宋体" w:hAnsi="宋体"/>
          <w:szCs w:val="21"/>
        </w:rPr>
        <w:t>的质量负有全部责任。</w:t>
      </w:r>
    </w:p>
    <w:p>
      <w:pPr>
        <w:numPr>
          <w:ilvl w:val="0"/>
          <w:numId w:val="6"/>
        </w:numPr>
        <w:spacing w:line="360" w:lineRule="auto"/>
        <w:ind w:left="0" w:firstLine="0"/>
        <w:rPr>
          <w:rFonts w:ascii="宋体" w:hAnsi="宋体"/>
          <w:szCs w:val="21"/>
        </w:rPr>
      </w:pPr>
      <w:r>
        <w:rPr>
          <w:rFonts w:hint="eastAsia" w:ascii="宋体" w:hAnsi="宋体"/>
          <w:szCs w:val="21"/>
        </w:rPr>
        <w:t>投标文件不满足任何一项本技术询价文件中加注星号（“★”）的技术条款（参数），其投标将被拒绝。</w:t>
      </w:r>
    </w:p>
    <w:p>
      <w:pPr>
        <w:pStyle w:val="36"/>
        <w:numPr>
          <w:ilvl w:val="0"/>
          <w:numId w:val="5"/>
        </w:numPr>
        <w:tabs>
          <w:tab w:val="left" w:pos="426"/>
        </w:tabs>
        <w:suppressAutoHyphens w:val="0"/>
        <w:spacing w:line="360" w:lineRule="auto"/>
        <w:outlineLvl w:val="0"/>
        <w:rPr>
          <w:rFonts w:hint="eastAsia" w:ascii="宋体" w:hAnsi="宋体"/>
          <w:b/>
          <w:bCs/>
          <w:color w:val="000000"/>
          <w:sz w:val="21"/>
          <w:szCs w:val="21"/>
        </w:rPr>
      </w:pPr>
      <w:bookmarkStart w:id="5" w:name="_Toc385268346"/>
      <w:bookmarkStart w:id="6" w:name="_Toc44180317"/>
      <w:bookmarkStart w:id="7" w:name="_Toc388546716"/>
      <w:bookmarkStart w:id="8" w:name="_Toc623679573"/>
      <w:bookmarkStart w:id="9" w:name="_Toc38896846"/>
      <w:r>
        <w:rPr>
          <w:rFonts w:hint="eastAsia" w:ascii="宋体" w:hAnsi="宋体"/>
          <w:b/>
          <w:bCs/>
          <w:color w:val="000000"/>
          <w:sz w:val="21"/>
          <w:szCs w:val="21"/>
        </w:rPr>
        <w:t>项目概况</w:t>
      </w:r>
      <w:bookmarkEnd w:id="5"/>
      <w:bookmarkEnd w:id="6"/>
      <w:bookmarkEnd w:id="7"/>
      <w:bookmarkEnd w:id="8"/>
      <w:bookmarkEnd w:id="9"/>
    </w:p>
    <w:p>
      <w:pPr>
        <w:numPr>
          <w:ilvl w:val="0"/>
          <w:numId w:val="7"/>
        </w:numPr>
        <w:spacing w:line="360" w:lineRule="auto"/>
        <w:rPr>
          <w:rFonts w:hint="eastAsia" w:ascii="宋体" w:hAnsi="宋体"/>
          <w:szCs w:val="21"/>
        </w:rPr>
      </w:pPr>
      <w:r>
        <w:rPr>
          <w:rFonts w:hint="eastAsia" w:ascii="宋体" w:hAnsi="宋体"/>
          <w:szCs w:val="21"/>
        </w:rPr>
        <w:t>项目名称：海洋石油富岛有限公司/中海石油建滔化工有限公司2026年档案数据电子化项目</w:t>
      </w:r>
      <w:r>
        <w:rPr>
          <w:rFonts w:hint="eastAsia" w:ascii="宋体" w:hAnsi="宋体"/>
          <w:szCs w:val="21"/>
          <w:lang w:val="en-US" w:eastAsia="zh-CN"/>
        </w:rPr>
        <w:t>。</w:t>
      </w:r>
    </w:p>
    <w:p>
      <w:pPr>
        <w:numPr>
          <w:ilvl w:val="0"/>
          <w:numId w:val="7"/>
        </w:numPr>
        <w:spacing w:line="360" w:lineRule="auto"/>
        <w:rPr>
          <w:rFonts w:hint="eastAsia" w:ascii="宋体" w:hAnsi="宋体"/>
          <w:szCs w:val="21"/>
        </w:rPr>
      </w:pPr>
      <w:r>
        <w:rPr>
          <w:rFonts w:hint="eastAsia" w:ascii="宋体" w:hAnsi="宋体"/>
          <w:szCs w:val="21"/>
        </w:rPr>
        <w:t>建设地点：海南省东方市</w:t>
      </w:r>
      <w:r>
        <w:rPr>
          <w:rFonts w:hint="eastAsia" w:ascii="宋体" w:hAnsi="宋体"/>
          <w:szCs w:val="21"/>
          <w:lang w:eastAsia="zh-CN"/>
        </w:rPr>
        <w:t>八所镇园区三路</w:t>
      </w:r>
      <w:r>
        <w:rPr>
          <w:rFonts w:hint="eastAsia" w:ascii="宋体" w:hAnsi="宋体"/>
          <w:szCs w:val="21"/>
          <w:lang w:val="en-US" w:eastAsia="zh-CN"/>
        </w:rPr>
        <w:t>1</w:t>
      </w:r>
      <w:r>
        <w:rPr>
          <w:rFonts w:hint="eastAsia" w:ascii="宋体" w:hAnsi="宋体"/>
          <w:szCs w:val="21"/>
        </w:rPr>
        <w:t>号</w:t>
      </w:r>
    </w:p>
    <w:p>
      <w:pPr>
        <w:numPr>
          <w:ilvl w:val="0"/>
          <w:numId w:val="7"/>
        </w:numPr>
        <w:spacing w:line="360" w:lineRule="auto"/>
        <w:rPr>
          <w:rFonts w:hint="eastAsia" w:ascii="宋体" w:hAnsi="宋体"/>
          <w:szCs w:val="21"/>
        </w:rPr>
      </w:pPr>
      <w:r>
        <w:rPr>
          <w:rFonts w:hint="eastAsia" w:ascii="宋体" w:hAnsi="宋体"/>
          <w:szCs w:val="21"/>
        </w:rPr>
        <w:t>概述：</w:t>
      </w:r>
      <w:r>
        <w:rPr>
          <w:rFonts w:hint="eastAsia" w:ascii="宋体" w:hAnsi="宋体"/>
          <w:szCs w:val="21"/>
          <w:lang w:val="en-US" w:eastAsia="zh-CN"/>
        </w:rPr>
        <w:t>根据集团公司及化学总部要求，需对富岛公司及海油建滔历史档案实施电子化及整</w:t>
      </w:r>
    </w:p>
    <w:p>
      <w:pPr>
        <w:numPr>
          <w:ilvl w:val="0"/>
          <w:numId w:val="0"/>
        </w:numPr>
        <w:spacing w:line="360" w:lineRule="auto"/>
        <w:ind w:leftChars="0"/>
        <w:rPr>
          <w:rFonts w:hint="eastAsia" w:ascii="宋体" w:hAnsi="宋体"/>
          <w:szCs w:val="21"/>
          <w:lang w:val="en-US" w:eastAsia="zh-CN"/>
        </w:rPr>
      </w:pPr>
      <w:r>
        <w:rPr>
          <w:rFonts w:hint="eastAsia" w:ascii="宋体" w:hAnsi="宋体"/>
          <w:szCs w:val="21"/>
          <w:lang w:val="en-US" w:eastAsia="zh-CN"/>
        </w:rPr>
        <w:t>编，本项目档案电子化及整编工作内容主要包含：</w:t>
      </w:r>
    </w:p>
    <w:p>
      <w:pPr>
        <w:numPr>
          <w:ilvl w:val="0"/>
          <w:numId w:val="8"/>
        </w:numPr>
        <w:tabs>
          <w:tab w:val="left" w:pos="312"/>
        </w:tabs>
        <w:spacing w:line="360" w:lineRule="auto"/>
        <w:ind w:left="425" w:leftChars="0" w:hanging="425"/>
        <w:rPr>
          <w:rFonts w:hint="eastAsia" w:ascii="宋体" w:hAnsi="宋体"/>
          <w:szCs w:val="21"/>
          <w:lang w:val="en-US" w:eastAsia="zh-CN"/>
        </w:rPr>
      </w:pPr>
      <w:r>
        <w:rPr>
          <w:rFonts w:hint="eastAsia" w:ascii="宋体" w:hAnsi="宋体"/>
          <w:szCs w:val="21"/>
          <w:lang w:val="en-US" w:eastAsia="zh-CN"/>
        </w:rPr>
        <w:t>富岛公司历史档案电子化</w:t>
      </w:r>
    </w:p>
    <w:p>
      <w:pPr>
        <w:numPr>
          <w:ilvl w:val="0"/>
          <w:numId w:val="0"/>
        </w:numPr>
        <w:spacing w:line="360" w:lineRule="auto"/>
        <w:rPr>
          <w:rFonts w:hint="eastAsia" w:ascii="宋体" w:hAnsi="宋体"/>
          <w:szCs w:val="21"/>
          <w:lang w:val="en-US" w:eastAsia="zh-CN"/>
        </w:rPr>
      </w:pPr>
      <w:r>
        <w:rPr>
          <w:rFonts w:hint="eastAsia" w:ascii="宋体" w:hAnsi="宋体"/>
          <w:szCs w:val="21"/>
          <w:lang w:val="en-US" w:eastAsia="zh-CN"/>
        </w:rPr>
        <w:t>管理类：合同2820册，文件大盒230册（脊背宽5厘米），小盒190册（脊背宽度3.5厘米）；</w:t>
      </w:r>
    </w:p>
    <w:p>
      <w:pPr>
        <w:numPr>
          <w:ilvl w:val="0"/>
          <w:numId w:val="0"/>
        </w:numPr>
        <w:spacing w:line="360" w:lineRule="auto"/>
        <w:rPr>
          <w:rFonts w:hint="eastAsia" w:ascii="宋体" w:hAnsi="宋体"/>
          <w:szCs w:val="21"/>
          <w:lang w:val="en-US" w:eastAsia="zh-CN"/>
        </w:rPr>
      </w:pPr>
      <w:r>
        <w:rPr>
          <w:rFonts w:hint="eastAsia" w:ascii="宋体" w:hAnsi="宋体"/>
          <w:szCs w:val="21"/>
          <w:lang w:val="en-US" w:eastAsia="zh-CN"/>
        </w:rPr>
        <w:t>科学技术类：交工技术文件4933册；</w:t>
      </w:r>
    </w:p>
    <w:p>
      <w:pPr>
        <w:numPr>
          <w:ilvl w:val="0"/>
          <w:numId w:val="8"/>
        </w:numPr>
        <w:tabs>
          <w:tab w:val="left" w:pos="312"/>
        </w:tabs>
        <w:spacing w:line="360" w:lineRule="auto"/>
        <w:ind w:left="425" w:leftChars="0" w:hanging="425" w:firstLineChars="0"/>
        <w:rPr>
          <w:rFonts w:hint="eastAsia" w:ascii="宋体" w:hAnsi="宋体"/>
          <w:color w:val="auto"/>
          <w:szCs w:val="21"/>
          <w:lang w:val="en-US" w:eastAsia="zh-CN"/>
        </w:rPr>
      </w:pPr>
      <w:r>
        <w:rPr>
          <w:rFonts w:hint="eastAsia" w:ascii="宋体" w:hAnsi="宋体"/>
          <w:color w:val="auto"/>
          <w:szCs w:val="21"/>
          <w:lang w:val="en-US" w:eastAsia="zh-CN"/>
        </w:rPr>
        <w:t>海油建滔档案电子化及整编</w:t>
      </w:r>
    </w:p>
    <w:p>
      <w:pPr>
        <w:numPr>
          <w:ilvl w:val="0"/>
          <w:numId w:val="0"/>
        </w:numPr>
        <w:spacing w:line="360" w:lineRule="auto"/>
        <w:ind w:leftChars="0"/>
        <w:rPr>
          <w:rFonts w:hint="default" w:ascii="宋体" w:hAnsi="宋体"/>
          <w:szCs w:val="21"/>
          <w:lang w:val="en-US" w:eastAsia="zh-CN"/>
        </w:rPr>
      </w:pPr>
      <w:r>
        <w:rPr>
          <w:rFonts w:ascii="宋体" w:hAnsi="宋体" w:eastAsia="宋体" w:cs="宋体"/>
          <w:sz w:val="21"/>
          <w:szCs w:val="21"/>
        </w:rPr>
        <w:t>海油建滔档案电子化</w:t>
      </w:r>
      <w:r>
        <w:rPr>
          <w:rFonts w:hint="eastAsia" w:ascii="宋体" w:hAnsi="宋体" w:eastAsia="宋体" w:cs="宋体"/>
          <w:sz w:val="21"/>
          <w:szCs w:val="21"/>
          <w:lang w:val="en-US" w:eastAsia="zh-CN"/>
        </w:rPr>
        <w:t>及</w:t>
      </w:r>
      <w:r>
        <w:rPr>
          <w:rFonts w:ascii="宋体" w:hAnsi="宋体" w:eastAsia="宋体" w:cs="宋体"/>
          <w:sz w:val="21"/>
          <w:szCs w:val="21"/>
        </w:rPr>
        <w:t>整理共5384册</w:t>
      </w:r>
    </w:p>
    <w:p>
      <w:pPr>
        <w:spacing w:line="360" w:lineRule="auto"/>
        <w:ind w:firstLine="420" w:firstLineChars="200"/>
        <w:rPr>
          <w:rFonts w:hint="eastAsia" w:ascii="宋体" w:hAnsi="宋体"/>
          <w:szCs w:val="21"/>
        </w:rPr>
      </w:pPr>
    </w:p>
    <w:p>
      <w:pPr>
        <w:pStyle w:val="36"/>
        <w:numPr>
          <w:ilvl w:val="0"/>
          <w:numId w:val="5"/>
        </w:numPr>
        <w:tabs>
          <w:tab w:val="left" w:pos="426"/>
        </w:tabs>
        <w:suppressAutoHyphens w:val="0"/>
        <w:spacing w:line="360" w:lineRule="auto"/>
        <w:outlineLvl w:val="0"/>
        <w:rPr>
          <w:rFonts w:hint="eastAsia" w:ascii="宋体" w:hAnsi="宋体"/>
          <w:b/>
          <w:bCs/>
          <w:color w:val="000000"/>
          <w:sz w:val="21"/>
          <w:szCs w:val="21"/>
        </w:rPr>
      </w:pPr>
      <w:bookmarkStart w:id="10" w:name="_Toc160096175"/>
      <w:bookmarkStart w:id="11" w:name="_Toc1186554598"/>
      <w:bookmarkStart w:id="12" w:name="_Toc349078033"/>
      <w:bookmarkStart w:id="13" w:name="_Toc38896847"/>
      <w:bookmarkStart w:id="14" w:name="_Toc44180318"/>
      <w:r>
        <w:rPr>
          <w:rFonts w:hint="eastAsia" w:ascii="宋体" w:hAnsi="宋体"/>
          <w:b/>
          <w:bCs/>
          <w:color w:val="000000"/>
          <w:sz w:val="21"/>
          <w:szCs w:val="21"/>
        </w:rPr>
        <w:t>标准规范及技术要求</w:t>
      </w:r>
      <w:bookmarkEnd w:id="10"/>
      <w:bookmarkEnd w:id="11"/>
      <w:bookmarkEnd w:id="12"/>
      <w:bookmarkEnd w:id="13"/>
      <w:bookmarkEnd w:id="14"/>
    </w:p>
    <w:p>
      <w:pPr>
        <w:pStyle w:val="36"/>
        <w:numPr>
          <w:ilvl w:val="0"/>
          <w:numId w:val="9"/>
        </w:numPr>
        <w:tabs>
          <w:tab w:val="left" w:pos="426"/>
        </w:tabs>
        <w:suppressAutoHyphens w:val="0"/>
        <w:spacing w:line="360" w:lineRule="auto"/>
        <w:outlineLvl w:val="0"/>
        <w:rPr>
          <w:rFonts w:hint="eastAsia" w:ascii="宋体" w:hAnsi="宋体"/>
          <w:b/>
          <w:bCs/>
          <w:color w:val="000000"/>
          <w:sz w:val="21"/>
          <w:szCs w:val="21"/>
        </w:rPr>
      </w:pPr>
      <w:bookmarkStart w:id="15" w:name="_Toc18536823"/>
      <w:bookmarkStart w:id="16" w:name="_Toc44180319"/>
      <w:bookmarkStart w:id="17" w:name="_Toc1620165976"/>
      <w:bookmarkStart w:id="18" w:name="_Toc38896848"/>
      <w:bookmarkStart w:id="19" w:name="_Toc759830896"/>
      <w:r>
        <w:rPr>
          <w:rFonts w:hint="eastAsia" w:ascii="宋体" w:hAnsi="宋体"/>
          <w:b/>
          <w:bCs/>
          <w:color w:val="000000"/>
          <w:sz w:val="21"/>
          <w:szCs w:val="21"/>
        </w:rPr>
        <w:t>标准规范</w:t>
      </w:r>
      <w:bookmarkEnd w:id="15"/>
      <w:bookmarkEnd w:id="16"/>
      <w:bookmarkEnd w:id="17"/>
      <w:bookmarkEnd w:id="18"/>
      <w:bookmarkEnd w:id="19"/>
    </w:p>
    <w:p>
      <w:pPr>
        <w:autoSpaceDE w:val="0"/>
        <w:autoSpaceDN w:val="0"/>
        <w:spacing w:line="360" w:lineRule="auto"/>
        <w:ind w:firstLine="424" w:firstLineChars="202"/>
        <w:rPr>
          <w:rFonts w:hint="eastAsia" w:ascii="宋体" w:hAnsi="宋体"/>
          <w:szCs w:val="21"/>
        </w:rPr>
      </w:pPr>
      <w:r>
        <w:rPr>
          <w:rFonts w:hint="eastAsia" w:ascii="宋体" w:hAnsi="宋体"/>
          <w:szCs w:val="21"/>
        </w:rPr>
        <w:t>本项目执行的标准规范，包括但不限于以下标准规范，若以下标准规范与最新的国家、行业的标准规范不一致或相冲突，则应按最新的标准规范执行。</w:t>
      </w:r>
    </w:p>
    <w:p>
      <w:pPr>
        <w:spacing w:line="360" w:lineRule="auto"/>
        <w:ind w:firstLine="420" w:firstLineChars="200"/>
        <w:rPr>
          <w:rFonts w:hint="eastAsia" w:ascii="宋体" w:hAnsi="宋体" w:eastAsia="宋体"/>
          <w:sz w:val="21"/>
          <w:szCs w:val="21"/>
        </w:rPr>
      </w:pPr>
      <w:bookmarkStart w:id="20" w:name="_Hlk197330480"/>
      <w:r>
        <w:rPr>
          <w:rFonts w:hint="eastAsia" w:ascii="宋体" w:hAnsi="宋体" w:eastAsia="宋体"/>
          <w:sz w:val="21"/>
          <w:szCs w:val="21"/>
        </w:rPr>
        <w:t>《电子文件归档与电子档案管理规范》</w:t>
      </w:r>
      <w:r>
        <w:rPr>
          <w:rFonts w:ascii="宋体" w:hAnsi="宋体" w:eastAsia="宋体"/>
          <w:sz w:val="21"/>
          <w:szCs w:val="21"/>
        </w:rPr>
        <w:t>GB/T18894-2016</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《科学技术档案案卷构成的一般要求》</w:t>
      </w:r>
      <w:r>
        <w:rPr>
          <w:rFonts w:ascii="宋体" w:hAnsi="宋体" w:eastAsia="宋体"/>
          <w:sz w:val="21"/>
          <w:szCs w:val="21"/>
        </w:rPr>
        <w:t>GB/T11822-2008</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《档案著录规则》</w:t>
      </w:r>
      <w:r>
        <w:rPr>
          <w:rFonts w:ascii="宋体" w:hAnsi="宋体" w:eastAsia="宋体"/>
          <w:sz w:val="21"/>
          <w:szCs w:val="21"/>
        </w:rPr>
        <w:t>DA/T18-2022</w:t>
      </w:r>
      <w:r>
        <w:rPr>
          <w:rFonts w:ascii="宋体" w:hAnsi="宋体" w:eastAsia="宋体"/>
          <w:sz w:val="21"/>
          <w:szCs w:val="21"/>
        </w:rPr>
        <w:tab/>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《归档文件整理规则》</w:t>
      </w:r>
      <w:r>
        <w:rPr>
          <w:rFonts w:ascii="宋体" w:hAnsi="宋体" w:eastAsia="宋体"/>
          <w:sz w:val="21"/>
          <w:szCs w:val="21"/>
        </w:rPr>
        <w:t>DA/T</w:t>
      </w:r>
      <w:r>
        <w:rPr>
          <w:rFonts w:hint="eastAsia" w:ascii="宋体" w:hAnsi="宋体" w:eastAsia="宋体"/>
          <w:sz w:val="21"/>
          <w:szCs w:val="21"/>
        </w:rPr>
        <w:t>22-2015</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《建设项目档案管理规范》</w:t>
      </w:r>
      <w:r>
        <w:rPr>
          <w:rFonts w:ascii="宋体" w:hAnsi="宋体" w:eastAsia="宋体"/>
          <w:sz w:val="21"/>
          <w:szCs w:val="21"/>
        </w:rPr>
        <w:t>DA/T28-2018</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《纸质档案数字化规范》</w:t>
      </w:r>
      <w:bookmarkEnd w:id="20"/>
      <w:r>
        <w:rPr>
          <w:rFonts w:ascii="宋体" w:hAnsi="宋体" w:eastAsia="宋体"/>
          <w:sz w:val="21"/>
          <w:szCs w:val="21"/>
        </w:rPr>
        <w:t>DA/T31-2017</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《档案数字化光盘标识规范》</w:t>
      </w:r>
      <w:r>
        <w:rPr>
          <w:rFonts w:ascii="宋体" w:hAnsi="宋体" w:eastAsia="宋体"/>
          <w:sz w:val="21"/>
          <w:szCs w:val="21"/>
        </w:rPr>
        <w:t>DA/T52-2014</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《档案数字化外包安全管理规范》</w:t>
      </w:r>
      <w:r>
        <w:rPr>
          <w:rFonts w:ascii="宋体" w:hAnsi="宋体" w:eastAsia="宋体"/>
          <w:sz w:val="21"/>
          <w:szCs w:val="21"/>
        </w:rPr>
        <w:t>DA/T70-2018</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《中海石油化学股份有限公司档案管理办法》</w:t>
      </w:r>
    </w:p>
    <w:p>
      <w:pPr>
        <w:spacing w:line="360" w:lineRule="auto"/>
        <w:ind w:firstLine="420" w:firstLineChars="200"/>
        <w:rPr>
          <w:rFonts w:hint="eastAsia" w:ascii="宋体" w:hAnsi="宋体" w:eastAsia="宋体"/>
          <w:sz w:val="21"/>
          <w:szCs w:val="21"/>
        </w:rPr>
      </w:pPr>
      <w:r>
        <w:rPr>
          <w:rFonts w:hint="eastAsia" w:ascii="宋体" w:hAnsi="宋体" w:eastAsia="宋体"/>
          <w:sz w:val="21"/>
          <w:szCs w:val="21"/>
        </w:rPr>
        <w:t>《中海石油化学股份有限公司声像档案、实物档案、电子档案管理细则》</w:t>
      </w:r>
    </w:p>
    <w:p>
      <w:pPr>
        <w:spacing w:line="360" w:lineRule="auto"/>
        <w:ind w:firstLine="420" w:firstLineChars="200"/>
        <w:rPr>
          <w:rFonts w:hint="eastAsia" w:ascii="宋体" w:hAnsi="宋体" w:eastAsia="宋体"/>
          <w:sz w:val="21"/>
          <w:szCs w:val="21"/>
        </w:rPr>
      </w:pPr>
      <w:bookmarkStart w:id="21" w:name="OLE_LINK1"/>
      <w:r>
        <w:rPr>
          <w:rFonts w:hint="eastAsia" w:ascii="宋体" w:hAnsi="宋体" w:eastAsia="宋体"/>
          <w:sz w:val="21"/>
          <w:szCs w:val="21"/>
        </w:rPr>
        <w:t>《中海石油化学股份有限公司建设项目档案工作管理细则》</w:t>
      </w:r>
    </w:p>
    <w:bookmarkEnd w:id="21"/>
    <w:p>
      <w:pPr>
        <w:spacing w:line="360" w:lineRule="auto"/>
        <w:ind w:firstLine="420" w:firstLineChars="200"/>
        <w:rPr>
          <w:rFonts w:hint="eastAsia" w:ascii="宋体" w:hAnsi="宋体"/>
          <w:szCs w:val="21"/>
        </w:rPr>
      </w:pPr>
      <w:r>
        <w:rPr>
          <w:rFonts w:hint="eastAsia" w:ascii="宋体" w:hAnsi="宋体" w:eastAsia="宋体"/>
          <w:sz w:val="21"/>
          <w:szCs w:val="21"/>
        </w:rPr>
        <w:t>委托人档案管理制度</w:t>
      </w:r>
    </w:p>
    <w:p>
      <w:pPr>
        <w:pStyle w:val="36"/>
        <w:numPr>
          <w:ilvl w:val="0"/>
          <w:numId w:val="9"/>
        </w:numPr>
        <w:tabs>
          <w:tab w:val="left" w:pos="426"/>
        </w:tabs>
        <w:suppressAutoHyphens w:val="0"/>
        <w:spacing w:line="360" w:lineRule="auto"/>
        <w:outlineLvl w:val="0"/>
        <w:rPr>
          <w:rFonts w:hint="eastAsia" w:ascii="宋体" w:hAnsi="宋体"/>
          <w:b/>
          <w:bCs/>
          <w:color w:val="000000"/>
          <w:sz w:val="21"/>
          <w:szCs w:val="21"/>
        </w:rPr>
      </w:pPr>
      <w:bookmarkStart w:id="22" w:name="_Toc228567608"/>
      <w:bookmarkStart w:id="23" w:name="_Toc44180320"/>
      <w:bookmarkStart w:id="24" w:name="_Toc1630760417"/>
      <w:bookmarkStart w:id="25" w:name="_Toc38896849"/>
      <w:bookmarkStart w:id="26" w:name="_Toc1012226289"/>
      <w:bookmarkStart w:id="27" w:name="OLE_LINK3"/>
      <w:r>
        <w:rPr>
          <w:rFonts w:hint="eastAsia" w:ascii="宋体" w:hAnsi="宋体"/>
          <w:b/>
          <w:bCs/>
          <w:color w:val="000000"/>
          <w:sz w:val="21"/>
          <w:szCs w:val="21"/>
        </w:rPr>
        <w:t>技术要求</w:t>
      </w:r>
      <w:bookmarkEnd w:id="22"/>
      <w:bookmarkEnd w:id="23"/>
      <w:bookmarkEnd w:id="24"/>
      <w:bookmarkEnd w:id="25"/>
      <w:bookmarkEnd w:id="26"/>
    </w:p>
    <w:bookmarkEnd w:id="27"/>
    <w:p>
      <w:pPr>
        <w:pStyle w:val="21"/>
        <w:numPr>
          <w:ilvl w:val="2"/>
          <w:numId w:val="10"/>
        </w:numPr>
        <w:ind w:left="421" w:hanging="422" w:hangingChars="200"/>
        <w:rPr>
          <w:rFonts w:hint="eastAsia" w:ascii="宋体" w:hAnsi="宋体"/>
          <w:color w:val="000000"/>
          <w:sz w:val="21"/>
          <w:szCs w:val="21"/>
        </w:rPr>
      </w:pPr>
      <w:bookmarkStart w:id="28" w:name="_Toc349220137"/>
      <w:r>
        <w:rPr>
          <w:rStyle w:val="58"/>
          <w:rFonts w:hint="default"/>
          <w:b/>
          <w:bCs/>
          <w:sz w:val="21"/>
          <w:szCs w:val="21"/>
        </w:rPr>
        <w:t>资</w:t>
      </w:r>
      <w:r>
        <w:rPr>
          <w:rStyle w:val="58"/>
          <w:rFonts w:hint="eastAsia" w:eastAsia="宋体"/>
          <w:b/>
          <w:bCs/>
          <w:sz w:val="21"/>
          <w:szCs w:val="21"/>
          <w:lang w:eastAsia="zh-CN"/>
        </w:rPr>
        <w:t>格</w:t>
      </w:r>
      <w:r>
        <w:rPr>
          <w:rStyle w:val="58"/>
          <w:rFonts w:hint="default"/>
          <w:b/>
          <w:bCs/>
          <w:sz w:val="21"/>
          <w:szCs w:val="21"/>
        </w:rPr>
        <w:t>要求：</w:t>
      </w:r>
    </w:p>
    <w:p>
      <w:pPr>
        <w:pStyle w:val="21"/>
        <w:numPr>
          <w:ilvl w:val="0"/>
          <w:numId w:val="11"/>
        </w:numPr>
        <w:ind w:left="421" w:hanging="420" w:hangingChars="200"/>
        <w:rPr>
          <w:rFonts w:hint="eastAsia" w:ascii="宋体" w:hAnsi="宋体"/>
          <w:color w:val="000000"/>
          <w:sz w:val="21"/>
          <w:szCs w:val="21"/>
        </w:rPr>
      </w:pPr>
      <w:r>
        <w:rPr>
          <w:rFonts w:hint="eastAsia" w:ascii="宋体" w:hAnsi="宋体"/>
          <w:color w:val="000000"/>
          <w:sz w:val="21"/>
          <w:szCs w:val="21"/>
        </w:rPr>
        <w:t>投标人具有合法有效的企业法人营业执照、税务登记证及组织机构代码证或证照合一的营业执照，投标时需提供原件扫描件（原件备查）。投标人为事业单位的，应具有合法有效的事业单位法人证书，投标时需提供原件扫描件（原件备查）。投标人为分公司的，提供具有合法有效的营业执照和上级法人单位授权书（授权该分公司投标和签订合同），认可该分公司和上级法人单位的资质、资格和业绩，不认可同一上级法人单位的其它分公司的资质、资格和业绩，投标时需提供原件扫描件（原件备查）。分公司与上级法人单位只可一家参与投标，同时参与投标的，投标均无效。</w:t>
      </w:r>
    </w:p>
    <w:p>
      <w:pPr>
        <w:numPr>
          <w:ilvl w:val="2"/>
          <w:numId w:val="10"/>
        </w:numPr>
        <w:spacing w:line="360" w:lineRule="auto"/>
        <w:ind w:left="421" w:hanging="422" w:hangingChars="200"/>
        <w:rPr>
          <w:rFonts w:ascii="宋体" w:hAnsi="宋体"/>
          <w:color w:val="000000"/>
          <w:szCs w:val="21"/>
        </w:rPr>
      </w:pPr>
      <w:r>
        <w:rPr>
          <w:rFonts w:hint="eastAsia" w:ascii="宋体" w:hAnsi="宋体"/>
          <w:b/>
          <w:bCs/>
          <w:szCs w:val="21"/>
        </w:rPr>
        <w:t>★</w:t>
      </w:r>
      <w:r>
        <w:rPr>
          <w:rStyle w:val="58"/>
          <w:rFonts w:hint="default"/>
          <w:b/>
          <w:bCs/>
          <w:sz w:val="21"/>
          <w:szCs w:val="21"/>
        </w:rPr>
        <w:t>业绩要求：</w:t>
      </w:r>
      <w:r>
        <w:rPr>
          <w:rStyle w:val="58"/>
          <w:rFonts w:hint="eastAsia" w:eastAsia="宋体"/>
          <w:sz w:val="21"/>
          <w:szCs w:val="21"/>
          <w:lang w:val="en-US" w:eastAsia="zh-CN"/>
        </w:rPr>
        <w:t>自2021年1月1日至投标截止日（以合同签署时间为准），投标人应具有1个合同政府机关或企事业单位或国企</w:t>
      </w:r>
      <w:r>
        <w:rPr>
          <w:rFonts w:hint="eastAsia" w:ascii="宋体" w:hAnsi="宋体"/>
          <w:szCs w:val="21"/>
          <w:lang w:val="en-US" w:eastAsia="zh-CN"/>
        </w:rPr>
        <w:t>档案电子化</w:t>
      </w:r>
      <w:r>
        <w:rPr>
          <w:rStyle w:val="58"/>
          <w:rFonts w:hint="eastAsia" w:eastAsia="宋体"/>
          <w:sz w:val="21"/>
          <w:szCs w:val="21"/>
          <w:lang w:val="en-US" w:eastAsia="zh-CN"/>
        </w:rPr>
        <w:t>项目的服务验收业绩。 投标人须按规定格式提交业绩表，并提交相关业绩证明文件。业绩证明文件包括但不限于：1）合同复印件（含相关技术附件）和2）服务验收证明材料或发票复印件。投标人所提交的业绩证明文件必须至少体现以下内容：合同签署时间、项目名称、技术要求及服务验收证明材料。</w:t>
      </w:r>
      <w:r>
        <w:rPr>
          <w:rStyle w:val="58"/>
          <w:rFonts w:hint="eastAsia" w:ascii="宋体" w:hAnsi="宋体"/>
          <w:sz w:val="21"/>
          <w:szCs w:val="21"/>
        </w:rPr>
        <w:t>若业绩合同为无固定总价协议，除提供协议外，还应提供相应的订单或工作量确认单，及与订单或工作量确认单对应的服务验收证明材料，订单或工作量确认单的内容或编号应与协议相关联。同一个协议下提供1个或以上的订单或工作量确认单及与订单或工作量确认单对应的服务验收证明材料均算为1个业绩</w:t>
      </w:r>
      <w:r>
        <w:rPr>
          <w:rStyle w:val="58"/>
          <w:rFonts w:hint="eastAsia" w:ascii="宋体" w:hAnsi="宋体" w:eastAsia="宋体" w:cs="Times New Roman"/>
          <w:sz w:val="21"/>
          <w:szCs w:val="21"/>
          <w:lang w:val="en-US" w:eastAsia="zh-CN"/>
        </w:rPr>
        <w:t>。</w:t>
      </w:r>
      <w:r>
        <w:rPr>
          <w:rStyle w:val="58"/>
          <w:rFonts w:hint="eastAsia" w:ascii="宋体" w:hAnsi="宋体"/>
          <w:sz w:val="21"/>
          <w:szCs w:val="21"/>
        </w:rPr>
        <w:t>未提交业绩证明文件，或通过所提供的业绩证明文件无法认定满足上述业绩要求的，均视为无效业绩</w:t>
      </w:r>
      <w:r>
        <w:rPr>
          <w:rStyle w:val="58"/>
          <w:rFonts w:ascii="宋体" w:hAnsi="宋体"/>
          <w:sz w:val="21"/>
          <w:szCs w:val="21"/>
        </w:rPr>
        <w:t>。</w:t>
      </w:r>
    </w:p>
    <w:p>
      <w:pPr>
        <w:numPr>
          <w:ilvl w:val="2"/>
          <w:numId w:val="10"/>
        </w:numPr>
        <w:spacing w:line="360" w:lineRule="auto"/>
        <w:ind w:left="421" w:hanging="422" w:hangingChars="200"/>
        <w:rPr>
          <w:rFonts w:ascii="宋体" w:hAnsi="宋体"/>
          <w:color w:val="000000"/>
          <w:sz w:val="20"/>
          <w:szCs w:val="20"/>
        </w:rPr>
      </w:pPr>
      <w:r>
        <w:rPr>
          <w:rStyle w:val="58"/>
          <w:rFonts w:hint="default"/>
          <w:b/>
          <w:bCs/>
          <w:sz w:val="21"/>
          <w:szCs w:val="21"/>
        </w:rPr>
        <w:t>人员</w:t>
      </w:r>
      <w:r>
        <w:rPr>
          <w:rStyle w:val="58"/>
          <w:rFonts w:hint="eastAsia" w:eastAsia="宋体"/>
          <w:b/>
          <w:bCs/>
          <w:sz w:val="21"/>
          <w:szCs w:val="21"/>
          <w:lang w:eastAsia="zh-CN"/>
        </w:rPr>
        <w:t>配置</w:t>
      </w:r>
      <w:r>
        <w:rPr>
          <w:rStyle w:val="58"/>
          <w:rFonts w:hint="default"/>
          <w:b/>
          <w:bCs/>
          <w:sz w:val="21"/>
          <w:szCs w:val="21"/>
        </w:rPr>
        <w:t>要求：</w:t>
      </w:r>
      <w:bookmarkStart w:id="29" w:name="OLE_LINK4"/>
      <w:r>
        <w:rPr>
          <w:rStyle w:val="58"/>
          <w:rFonts w:hint="eastAsia" w:eastAsia="宋体"/>
          <w:sz w:val="21"/>
          <w:szCs w:val="21"/>
          <w:lang w:val="en-US" w:eastAsia="zh-CN"/>
        </w:rPr>
        <w:t>服务团队由项目负责人、技术负责人及工作人员组成。人员共分两组，每组至少10人，分别服务于富岛公司和海油建滔。</w:t>
      </w:r>
      <w:r>
        <w:rPr>
          <w:rStyle w:val="58"/>
          <w:rFonts w:ascii="宋体" w:hAnsi="宋体" w:eastAsia="宋体" w:cs="Times New Roman"/>
          <w:sz w:val="21"/>
          <w:szCs w:val="21"/>
        </w:rPr>
        <w:t>具体作业人数由投标人依据自己人员技能水平评估确认后报出（附件1 表1 人力动员计划），以确保按时保质保量完成技术文件规定的业任务。</w:t>
      </w:r>
      <w:bookmarkEnd w:id="29"/>
    </w:p>
    <w:p>
      <w:pPr>
        <w:numPr>
          <w:ilvl w:val="2"/>
          <w:numId w:val="10"/>
        </w:numPr>
        <w:adjustRightInd/>
        <w:snapToGrid/>
        <w:spacing w:after="0" w:line="360" w:lineRule="auto"/>
        <w:ind w:left="421" w:hanging="422" w:hangingChars="200"/>
        <w:rPr>
          <w:rFonts w:hint="eastAsia" w:ascii="仿宋" w:hAnsi="仿宋" w:eastAsia="仿宋"/>
          <w:sz w:val="28"/>
          <w:szCs w:val="28"/>
        </w:rPr>
      </w:pPr>
      <w:r>
        <w:rPr>
          <w:rFonts w:hint="eastAsia" w:ascii="宋体" w:hAnsi="宋体"/>
          <w:b/>
          <w:bCs/>
          <w:szCs w:val="21"/>
        </w:rPr>
        <w:t>★</w:t>
      </w:r>
      <w:r>
        <w:rPr>
          <w:rStyle w:val="58"/>
          <w:rFonts w:hint="eastAsia" w:ascii="宋体" w:hAnsi="宋体" w:eastAsia="宋体" w:cs="Times New Roman"/>
          <w:b/>
          <w:bCs/>
          <w:sz w:val="20"/>
          <w:szCs w:val="20"/>
          <w:lang w:eastAsia="zh-CN"/>
        </w:rPr>
        <w:t>项目负责人和技术负责人要求：</w:t>
      </w:r>
    </w:p>
    <w:p>
      <w:pPr>
        <w:numPr>
          <w:ilvl w:val="0"/>
          <w:numId w:val="12"/>
        </w:numPr>
        <w:spacing w:line="360" w:lineRule="auto"/>
        <w:ind w:left="421" w:hanging="420" w:hangingChars="200"/>
        <w:rPr>
          <w:rStyle w:val="58"/>
          <w:rFonts w:hint="default" w:ascii="宋体" w:hAnsi="宋体" w:eastAsia="宋体" w:cs="Times New Roman"/>
          <w:sz w:val="21"/>
          <w:szCs w:val="21"/>
        </w:rPr>
      </w:pPr>
      <w:bookmarkStart w:id="30" w:name="OLE_LINK2"/>
      <w:r>
        <w:rPr>
          <w:rStyle w:val="58"/>
          <w:rFonts w:hint="eastAsia" w:ascii="宋体" w:hAnsi="宋体" w:eastAsia="宋体" w:cs="Times New Roman"/>
          <w:sz w:val="21"/>
          <w:szCs w:val="21"/>
          <w:lang w:eastAsia="zh-CN"/>
        </w:rPr>
        <w:t>项目负责人</w:t>
      </w:r>
      <w:r>
        <w:rPr>
          <w:rStyle w:val="58"/>
          <w:rFonts w:hint="default" w:ascii="宋体" w:hAnsi="宋体" w:eastAsia="宋体" w:cs="Times New Roman"/>
          <w:sz w:val="21"/>
          <w:szCs w:val="21"/>
        </w:rPr>
        <w:t>及技术负责人</w:t>
      </w:r>
      <w:r>
        <w:rPr>
          <w:rStyle w:val="58"/>
          <w:rFonts w:hint="default" w:ascii="宋体" w:hAnsi="宋体" w:eastAsia="宋体" w:cs="Times New Roman"/>
          <w:sz w:val="21"/>
          <w:szCs w:val="21"/>
          <w:lang w:val="en-US" w:eastAsia="zh-CN"/>
        </w:rPr>
        <w:t>须</w:t>
      </w:r>
      <w:r>
        <w:rPr>
          <w:rStyle w:val="58"/>
          <w:rFonts w:hint="default" w:ascii="宋体" w:hAnsi="宋体" w:eastAsia="宋体" w:cs="Times New Roman"/>
          <w:sz w:val="21"/>
          <w:szCs w:val="21"/>
        </w:rPr>
        <w:t>持有档案专业中级及以上</w:t>
      </w:r>
      <w:r>
        <w:rPr>
          <w:rStyle w:val="58"/>
          <w:rFonts w:hint="eastAsia" w:ascii="宋体" w:hAnsi="宋体" w:eastAsia="宋体" w:cs="Times New Roman"/>
          <w:sz w:val="21"/>
          <w:szCs w:val="21"/>
          <w:lang w:val="en-US" w:eastAsia="zh-CN"/>
        </w:rPr>
        <w:t>技术职称证书</w:t>
      </w:r>
      <w:r>
        <w:rPr>
          <w:rStyle w:val="58"/>
          <w:rFonts w:hint="eastAsia" w:ascii="宋体" w:hAnsi="宋体" w:eastAsia="宋体" w:cs="Times New Roman"/>
          <w:sz w:val="21"/>
          <w:szCs w:val="21"/>
          <w:lang w:eastAsia="zh-CN"/>
        </w:rPr>
        <w:t>，</w:t>
      </w:r>
      <w:r>
        <w:rPr>
          <w:rStyle w:val="58"/>
          <w:rFonts w:hint="eastAsia" w:ascii="宋体" w:hAnsi="宋体" w:eastAsia="宋体" w:cs="Times New Roman"/>
          <w:sz w:val="21"/>
          <w:szCs w:val="21"/>
          <w:lang w:val="en-US" w:eastAsia="zh-CN"/>
        </w:rPr>
        <w:t>以及</w:t>
      </w:r>
      <w:r>
        <w:rPr>
          <w:rStyle w:val="58"/>
          <w:rFonts w:hint="default" w:ascii="宋体" w:hAnsi="宋体" w:eastAsia="宋体" w:cs="Times New Roman"/>
          <w:sz w:val="21"/>
          <w:szCs w:val="21"/>
        </w:rPr>
        <w:t>省级以上档案主管部门颁发的岗</w:t>
      </w:r>
      <w:r>
        <w:rPr>
          <w:rStyle w:val="58"/>
          <w:rFonts w:hint="eastAsia" w:ascii="宋体" w:hAnsi="宋体" w:eastAsia="宋体" w:cs="Times New Roman"/>
          <w:sz w:val="21"/>
          <w:szCs w:val="21"/>
          <w:lang w:val="en-US" w:eastAsia="zh-CN"/>
        </w:rPr>
        <w:t>位资格证书或培训证书，投标时提供扫描件（原件备查）</w:t>
      </w:r>
      <w:r>
        <w:rPr>
          <w:rStyle w:val="58"/>
          <w:rFonts w:hint="default" w:ascii="宋体" w:hAnsi="宋体" w:eastAsia="宋体" w:cs="Times New Roman"/>
          <w:sz w:val="21"/>
          <w:szCs w:val="21"/>
        </w:rPr>
        <w:t>。</w:t>
      </w:r>
    </w:p>
    <w:p>
      <w:pPr>
        <w:numPr>
          <w:ilvl w:val="0"/>
          <w:numId w:val="12"/>
        </w:numPr>
        <w:spacing w:line="360" w:lineRule="auto"/>
        <w:ind w:left="421" w:hanging="420" w:hangingChars="200"/>
        <w:rPr>
          <w:rStyle w:val="58"/>
          <w:rFonts w:hint="default" w:ascii="宋体" w:hAnsi="宋体" w:eastAsia="宋体" w:cs="Times New Roman"/>
          <w:sz w:val="21"/>
          <w:szCs w:val="21"/>
        </w:rPr>
      </w:pPr>
      <w:r>
        <w:rPr>
          <w:rStyle w:val="58"/>
          <w:rFonts w:hint="eastAsia" w:ascii="宋体" w:hAnsi="宋体" w:eastAsia="宋体" w:cs="Times New Roman"/>
          <w:sz w:val="21"/>
          <w:szCs w:val="21"/>
          <w:lang w:eastAsia="zh-CN"/>
        </w:rPr>
        <w:t>自</w:t>
      </w:r>
      <w:r>
        <w:rPr>
          <w:rStyle w:val="58"/>
          <w:rFonts w:hint="eastAsia" w:ascii="宋体" w:hAnsi="宋体" w:eastAsia="宋体" w:cs="Times New Roman"/>
          <w:sz w:val="21"/>
          <w:szCs w:val="21"/>
          <w:lang w:val="en-US" w:eastAsia="zh-CN"/>
        </w:rPr>
        <w:t>2021年1月1日至投标截止日，</w:t>
      </w:r>
      <w:r>
        <w:rPr>
          <w:rStyle w:val="58"/>
          <w:rFonts w:hint="eastAsia" w:ascii="宋体" w:hAnsi="宋体" w:eastAsia="宋体" w:cs="Times New Roman"/>
          <w:sz w:val="21"/>
          <w:szCs w:val="21"/>
          <w:lang w:eastAsia="zh-CN"/>
        </w:rPr>
        <w:t>项目负责人</w:t>
      </w:r>
      <w:r>
        <w:rPr>
          <w:rStyle w:val="58"/>
          <w:rFonts w:hint="default" w:ascii="宋体" w:hAnsi="宋体" w:eastAsia="宋体" w:cs="Times New Roman"/>
          <w:sz w:val="21"/>
          <w:szCs w:val="21"/>
        </w:rPr>
        <w:t>及技术负责人</w:t>
      </w:r>
      <w:r>
        <w:rPr>
          <w:rStyle w:val="58"/>
          <w:rFonts w:hint="eastAsia" w:ascii="宋体" w:hAnsi="宋体" w:eastAsia="宋体" w:cs="Times New Roman"/>
          <w:sz w:val="21"/>
          <w:szCs w:val="21"/>
          <w:lang w:eastAsia="zh-CN"/>
        </w:rPr>
        <w:t>应</w:t>
      </w:r>
      <w:r>
        <w:rPr>
          <w:rStyle w:val="58"/>
          <w:rFonts w:hint="eastAsia" w:ascii="宋体" w:hAnsi="宋体" w:eastAsia="宋体" w:cs="Times New Roman"/>
          <w:sz w:val="21"/>
          <w:szCs w:val="21"/>
          <w:lang w:val="en-US" w:eastAsia="zh-CN"/>
        </w:rPr>
        <w:t>有工业企业档案管理服务项目（合同金额</w:t>
      </w:r>
      <w:r>
        <w:rPr>
          <w:rStyle w:val="58"/>
          <w:rFonts w:hint="default" w:ascii="Arial" w:hAnsi="Arial" w:eastAsia="宋体" w:cs="Arial"/>
          <w:sz w:val="21"/>
          <w:szCs w:val="21"/>
          <w:lang w:val="en-US" w:eastAsia="zh-CN"/>
        </w:rPr>
        <w:t>≥</w:t>
      </w:r>
      <w:r>
        <w:rPr>
          <w:rStyle w:val="58"/>
          <w:rFonts w:hint="eastAsia" w:ascii="宋体" w:hAnsi="宋体" w:eastAsia="宋体" w:cs="Times New Roman"/>
          <w:sz w:val="21"/>
          <w:szCs w:val="21"/>
          <w:lang w:val="en-US" w:eastAsia="zh-CN"/>
        </w:rPr>
        <w:t>60万元）的项目负责人</w:t>
      </w:r>
      <w:r>
        <w:rPr>
          <w:rStyle w:val="58"/>
          <w:rFonts w:hint="eastAsia" w:ascii="宋体" w:hAnsi="宋体" w:eastAsia="宋体" w:cs="Times New Roman"/>
          <w:sz w:val="21"/>
          <w:szCs w:val="21"/>
          <w:lang w:eastAsia="zh-CN"/>
        </w:rPr>
        <w:t>或</w:t>
      </w:r>
      <w:r>
        <w:rPr>
          <w:rStyle w:val="58"/>
          <w:rFonts w:hint="default" w:ascii="宋体" w:hAnsi="宋体" w:eastAsia="宋体" w:cs="Times New Roman"/>
          <w:sz w:val="21"/>
          <w:szCs w:val="21"/>
        </w:rPr>
        <w:t>技术负责人</w:t>
      </w:r>
      <w:r>
        <w:rPr>
          <w:rStyle w:val="58"/>
          <w:rFonts w:hint="eastAsia" w:ascii="宋体" w:hAnsi="宋体" w:eastAsia="宋体" w:cs="Times New Roman"/>
          <w:sz w:val="21"/>
          <w:szCs w:val="21"/>
          <w:lang w:val="en-US" w:eastAsia="zh-CN"/>
        </w:rPr>
        <w:t>执业业绩，投标时提供扫描件（原件备查）</w:t>
      </w:r>
      <w:r>
        <w:rPr>
          <w:rStyle w:val="58"/>
          <w:rFonts w:hint="default" w:ascii="宋体" w:hAnsi="宋体" w:eastAsia="宋体" w:cs="Times New Roman"/>
          <w:sz w:val="21"/>
          <w:szCs w:val="21"/>
        </w:rPr>
        <w:t>。</w:t>
      </w:r>
    </w:p>
    <w:p>
      <w:pPr>
        <w:numPr>
          <w:ilvl w:val="0"/>
          <w:numId w:val="12"/>
        </w:numPr>
        <w:spacing w:line="360" w:lineRule="auto"/>
        <w:ind w:left="421" w:hanging="420" w:hangingChars="200"/>
        <w:rPr>
          <w:rFonts w:ascii="宋体" w:hAnsi="宋体"/>
          <w:color w:val="000000"/>
          <w:sz w:val="20"/>
          <w:szCs w:val="20"/>
        </w:rPr>
      </w:pPr>
      <w:r>
        <w:rPr>
          <w:rStyle w:val="58"/>
          <w:rFonts w:hint="eastAsia" w:ascii="宋体" w:hAnsi="宋体" w:eastAsia="宋体" w:cs="Times New Roman"/>
          <w:sz w:val="21"/>
          <w:szCs w:val="21"/>
          <w:lang w:eastAsia="zh-CN"/>
        </w:rPr>
        <w:t>项目负责人</w:t>
      </w:r>
      <w:r>
        <w:rPr>
          <w:rStyle w:val="58"/>
          <w:rFonts w:hint="default" w:ascii="宋体" w:hAnsi="宋体" w:eastAsia="宋体" w:cs="Times New Roman"/>
          <w:sz w:val="21"/>
          <w:szCs w:val="21"/>
        </w:rPr>
        <w:t>及技术负责人</w:t>
      </w:r>
      <w:r>
        <w:rPr>
          <w:rStyle w:val="58"/>
          <w:rFonts w:hint="eastAsia" w:ascii="宋体" w:hAnsi="宋体" w:eastAsia="宋体" w:cs="Times New Roman"/>
          <w:sz w:val="21"/>
          <w:szCs w:val="21"/>
          <w:lang w:eastAsia="zh-CN"/>
        </w:rPr>
        <w:t>应为投标人自有人员，</w:t>
      </w:r>
      <w:r>
        <w:rPr>
          <w:rStyle w:val="58"/>
          <w:rFonts w:hint="eastAsia" w:ascii="宋体" w:hAnsi="宋体" w:eastAsia="宋体" w:cs="Times New Roman"/>
          <w:sz w:val="21"/>
          <w:szCs w:val="21"/>
          <w:lang w:val="en-US" w:eastAsia="zh-CN"/>
        </w:rPr>
        <w:t xml:space="preserve"> 投标时提供</w:t>
      </w:r>
      <w:r>
        <w:rPr>
          <w:rFonts w:hint="eastAsia"/>
          <w:color w:val="auto"/>
          <w:kern w:val="2"/>
          <w:sz w:val="21"/>
          <w:szCs w:val="24"/>
          <w:highlight w:val="none"/>
          <w:lang w:val="en-US" w:eastAsia="zh-CN" w:bidi="ar-SA"/>
        </w:rPr>
        <w:t>2025年7月至</w:t>
      </w:r>
      <w:r>
        <w:rPr>
          <w:rFonts w:hint="eastAsia" w:ascii="宋体" w:hAnsi="宋体" w:eastAsia="宋体" w:cs="宋体"/>
          <w:color w:val="auto"/>
          <w:kern w:val="2"/>
          <w:sz w:val="21"/>
          <w:szCs w:val="21"/>
          <w:highlight w:val="none"/>
          <w:lang w:val="en-US" w:eastAsia="zh-CN" w:bidi="ar"/>
        </w:rPr>
        <w:t>投标截止日</w:t>
      </w:r>
      <w:r>
        <w:rPr>
          <w:rFonts w:hint="eastAsia"/>
          <w:color w:val="auto"/>
          <w:kern w:val="2"/>
          <w:sz w:val="21"/>
          <w:szCs w:val="24"/>
          <w:highlight w:val="none"/>
          <w:lang w:val="en-US" w:eastAsia="zh-CN" w:bidi="ar-SA"/>
        </w:rPr>
        <w:t>期间任意连续</w:t>
      </w:r>
      <w:r>
        <w:rPr>
          <w:rFonts w:hint="eastAsia" w:ascii="宋体" w:hAnsi="宋体" w:eastAsia="宋体" w:cs="宋体"/>
          <w:color w:val="auto"/>
          <w:kern w:val="2"/>
          <w:sz w:val="21"/>
          <w:szCs w:val="21"/>
          <w:highlight w:val="none"/>
          <w:lang w:val="en-US" w:eastAsia="zh-CN" w:bidi="ar"/>
        </w:rPr>
        <w:t>6个月</w:t>
      </w:r>
      <w:r>
        <w:rPr>
          <w:rFonts w:hint="eastAsia" w:ascii="宋体" w:hAnsi="宋体" w:eastAsia="宋体" w:cs="宋体"/>
          <w:color w:val="auto"/>
          <w:kern w:val="0"/>
          <w:sz w:val="21"/>
          <w:szCs w:val="21"/>
          <w:highlight w:val="none"/>
          <w:lang w:val="en-US" w:eastAsia="zh-CN" w:bidi="ar"/>
        </w:rPr>
        <w:t>由投标人所在地社保机构出具或政府相关部门官方网站下载的以投标人（或投标人分公司）名义</w:t>
      </w:r>
      <w:r>
        <w:rPr>
          <w:rFonts w:hint="eastAsia"/>
          <w:color w:val="auto"/>
          <w:kern w:val="2"/>
          <w:sz w:val="21"/>
          <w:szCs w:val="24"/>
          <w:highlight w:val="none"/>
          <w:lang w:val="en-US" w:eastAsia="zh-CN" w:bidi="ar-SA"/>
        </w:rPr>
        <w:t>缴纳的</w:t>
      </w:r>
      <w:r>
        <w:rPr>
          <w:rFonts w:hint="eastAsia" w:ascii="宋体" w:hAnsi="宋体" w:eastAsia="宋体" w:cs="宋体"/>
          <w:color w:val="auto"/>
          <w:kern w:val="0"/>
          <w:sz w:val="21"/>
          <w:szCs w:val="21"/>
          <w:highlight w:val="none"/>
          <w:lang w:val="en-US" w:eastAsia="zh-CN" w:bidi="ar"/>
        </w:rPr>
        <w:t>社保缴纳证明扫描件</w:t>
      </w:r>
      <w:r>
        <w:rPr>
          <w:rStyle w:val="58"/>
          <w:rFonts w:hint="default" w:ascii="宋体" w:hAnsi="宋体" w:eastAsia="宋体" w:cs="Times New Roman"/>
          <w:sz w:val="21"/>
          <w:szCs w:val="21"/>
        </w:rPr>
        <w:t>。</w:t>
      </w:r>
    </w:p>
    <w:bookmarkEnd w:id="30"/>
    <w:p>
      <w:pPr>
        <w:numPr>
          <w:ilvl w:val="2"/>
          <w:numId w:val="10"/>
        </w:numPr>
        <w:spacing w:line="360" w:lineRule="auto"/>
        <w:ind w:left="421" w:hanging="422" w:hangingChars="200"/>
        <w:rPr>
          <w:rFonts w:ascii="宋体" w:hAnsi="宋体"/>
          <w:color w:val="000000"/>
          <w:sz w:val="20"/>
          <w:szCs w:val="20"/>
        </w:rPr>
      </w:pPr>
      <w:r>
        <w:rPr>
          <w:rStyle w:val="58"/>
          <w:rFonts w:hint="eastAsia" w:eastAsia="宋体"/>
          <w:b/>
          <w:bCs/>
          <w:sz w:val="21"/>
          <w:szCs w:val="21"/>
          <w:highlight w:val="none"/>
          <w:lang w:val="en-US" w:eastAsia="zh-CN"/>
        </w:rPr>
        <w:t>人员合同、保险及健康要求：</w:t>
      </w:r>
      <w:r>
        <w:rPr>
          <w:rStyle w:val="58"/>
          <w:rFonts w:hint="eastAsia" w:eastAsia="宋体"/>
          <w:sz w:val="21"/>
          <w:szCs w:val="21"/>
          <w:lang w:val="en-US" w:eastAsia="zh-CN"/>
        </w:rPr>
        <w:t>投标人应与其雇用的所有入场作业人员签订合法有效的用工合同。对建立劳动关系的员工，投标人须依法为其缴纳工伤保险；对未建立劳动关系的人员，投标人须为其购买足额的雇主责任险或人身意外伤害保险，每人保额不应低于人民币80万元。投标人须确保其入场人员持有入厂前6个月内由具备相应资质的专业医疗机构出具的、与作业风险相适应的职业健康体检报告。上述人员的用工合同、工伤保险缴纳证明或商业保险保单（或凭证）、职业健康体检报告，均须在人员入厂安全培训时提交招标人核验。文件不全或不符合要求的人员，不得入厂服务。</w:t>
      </w:r>
    </w:p>
    <w:p>
      <w:pPr>
        <w:numPr>
          <w:ilvl w:val="2"/>
          <w:numId w:val="10"/>
        </w:numPr>
        <w:spacing w:line="360" w:lineRule="auto"/>
        <w:ind w:left="421" w:hanging="420" w:hangingChars="200"/>
        <w:rPr>
          <w:rFonts w:ascii="宋体" w:hAnsi="宋体"/>
          <w:color w:val="000000"/>
        </w:rPr>
      </w:pPr>
      <w:r>
        <w:rPr>
          <w:rFonts w:hint="eastAsia" w:ascii="宋体" w:hAnsi="宋体"/>
          <w:color w:val="000000"/>
          <w:lang w:val="en-US" w:eastAsia="zh-CN"/>
        </w:rPr>
        <w:t>投标人须在中标通知书下达后、合同签订前，前往招标人现场了解业务内容，沟通合同签订事宜。</w:t>
      </w:r>
    </w:p>
    <w:p>
      <w:pPr>
        <w:numPr>
          <w:ilvl w:val="2"/>
          <w:numId w:val="10"/>
        </w:numPr>
        <w:spacing w:line="360" w:lineRule="auto"/>
        <w:ind w:left="421" w:hanging="422" w:hangingChars="200"/>
        <w:rPr>
          <w:rFonts w:ascii="宋体" w:hAnsi="宋体"/>
          <w:color w:val="000000"/>
        </w:rPr>
      </w:pPr>
      <w:r>
        <w:rPr>
          <w:rStyle w:val="58"/>
          <w:rFonts w:hint="default"/>
          <w:b/>
          <w:bCs/>
          <w:sz w:val="21"/>
          <w:szCs w:val="21"/>
          <w:highlight w:val="none"/>
        </w:rPr>
        <w:t>工机具要求：</w:t>
      </w:r>
      <w:r>
        <w:rPr>
          <w:rFonts w:hint="eastAsia" w:ascii="国标宋体" w:hAnsi="国标宋体" w:eastAsia="国标宋体" w:cs="国标宋体"/>
          <w:color w:val="000000"/>
          <w:sz w:val="21"/>
          <w:szCs w:val="21"/>
        </w:rPr>
        <w:t>投标人须具备自有数字化加工设备及专用软件，工作设备（计算机、扫描仪等）须通过国家保密行政管理部</w:t>
      </w:r>
      <w:r>
        <w:rPr>
          <w:rFonts w:hint="eastAsia" w:ascii="宋体" w:hAnsi="宋体"/>
          <w:color w:val="000000"/>
          <w:sz w:val="21"/>
          <w:szCs w:val="21"/>
        </w:rPr>
        <w:t>门授权机构的安全检测（提供检测合格证书）；严禁非涉密存储介质接入涉密设备。</w:t>
      </w:r>
      <w:r>
        <w:rPr>
          <w:rFonts w:hint="eastAsia" w:ascii="宋体" w:hAnsi="宋体"/>
          <w:color w:val="000000"/>
          <w:szCs w:val="21"/>
          <w:lang w:val="en-US" w:eastAsia="zh-CN"/>
        </w:rPr>
        <w:t>历史档案时间久远、纸张脆化、字迹模糊，且有一部分为订装书，电子化扫描需要专业的设备，如高速扫描仪、高拍仪、书本扫描仪、工程扫描仪等，同时配备图片图形处理软件。</w:t>
      </w:r>
      <w:r>
        <w:rPr>
          <w:rStyle w:val="58"/>
          <w:rFonts w:hint="default"/>
          <w:sz w:val="21"/>
          <w:szCs w:val="21"/>
          <w:highlight w:val="none"/>
        </w:rPr>
        <w:t>具体工机具计划由投标人依据自己评估确认后报出（附件2表2 工机具动员计划），以确保按时保质保量完成技术文件规定的施工与检维修作业任务。</w:t>
      </w:r>
      <w:bookmarkEnd w:id="28"/>
      <w:bookmarkStart w:id="31" w:name="_Toc350329392"/>
      <w:bookmarkEnd w:id="31"/>
      <w:bookmarkStart w:id="32" w:name="_Toc350329399"/>
      <w:bookmarkEnd w:id="32"/>
      <w:bookmarkStart w:id="33" w:name="_Toc350329412"/>
      <w:bookmarkEnd w:id="33"/>
      <w:bookmarkStart w:id="34" w:name="_Toc350329393"/>
      <w:bookmarkEnd w:id="34"/>
      <w:bookmarkStart w:id="35" w:name="_Toc350329401"/>
      <w:bookmarkEnd w:id="35"/>
      <w:bookmarkStart w:id="36" w:name="_Toc350329396"/>
      <w:bookmarkEnd w:id="36"/>
      <w:bookmarkStart w:id="37" w:name="_Toc350329410"/>
      <w:bookmarkEnd w:id="37"/>
      <w:bookmarkStart w:id="38" w:name="_Toc350329394"/>
      <w:bookmarkEnd w:id="38"/>
      <w:bookmarkStart w:id="39" w:name="_Toc350329408"/>
      <w:bookmarkEnd w:id="39"/>
      <w:bookmarkStart w:id="40" w:name="_Toc350329395"/>
      <w:bookmarkEnd w:id="40"/>
      <w:bookmarkStart w:id="41" w:name="_Toc350329409"/>
      <w:bookmarkEnd w:id="41"/>
      <w:bookmarkStart w:id="42" w:name="_Toc350329406"/>
      <w:bookmarkEnd w:id="42"/>
      <w:bookmarkStart w:id="43" w:name="_Toc350329400"/>
      <w:bookmarkEnd w:id="43"/>
      <w:bookmarkStart w:id="44" w:name="_Toc350329404"/>
      <w:bookmarkEnd w:id="44"/>
      <w:bookmarkStart w:id="45" w:name="_Toc350329398"/>
      <w:bookmarkEnd w:id="45"/>
      <w:bookmarkStart w:id="46" w:name="_Toc350329402"/>
      <w:bookmarkEnd w:id="46"/>
      <w:bookmarkStart w:id="47" w:name="_Toc350325975"/>
      <w:bookmarkEnd w:id="47"/>
      <w:bookmarkStart w:id="48" w:name="_Toc350235037"/>
      <w:bookmarkEnd w:id="48"/>
      <w:bookmarkStart w:id="49" w:name="_Toc350265937"/>
      <w:bookmarkEnd w:id="49"/>
      <w:bookmarkStart w:id="50" w:name="_Toc350329405"/>
      <w:bookmarkEnd w:id="50"/>
      <w:bookmarkStart w:id="51" w:name="_Toc350329411"/>
      <w:bookmarkEnd w:id="51"/>
      <w:bookmarkStart w:id="52" w:name="_Toc350329397"/>
      <w:bookmarkEnd w:id="52"/>
      <w:bookmarkStart w:id="53" w:name="_Toc350329403"/>
      <w:bookmarkEnd w:id="53"/>
      <w:bookmarkStart w:id="54" w:name="_Toc350329407"/>
      <w:bookmarkEnd w:id="54"/>
      <w:bookmarkStart w:id="55" w:name="_Toc350032031"/>
      <w:bookmarkEnd w:id="55"/>
      <w:bookmarkStart w:id="56" w:name="_Toc350033527"/>
      <w:bookmarkEnd w:id="56"/>
      <w:bookmarkStart w:id="57" w:name="_Toc349220119"/>
      <w:bookmarkStart w:id="58" w:name="_Toc38896850"/>
    </w:p>
    <w:p>
      <w:pPr>
        <w:pStyle w:val="36"/>
        <w:numPr>
          <w:ilvl w:val="0"/>
          <w:numId w:val="5"/>
        </w:numPr>
        <w:tabs>
          <w:tab w:val="left" w:pos="426"/>
        </w:tabs>
        <w:suppressAutoHyphens w:val="0"/>
        <w:spacing w:line="360" w:lineRule="auto"/>
        <w:outlineLvl w:val="0"/>
        <w:rPr>
          <w:rFonts w:hint="eastAsia" w:ascii="宋体" w:hAnsi="宋体"/>
          <w:b/>
          <w:bCs/>
          <w:color w:val="000000"/>
          <w:sz w:val="21"/>
          <w:szCs w:val="21"/>
        </w:rPr>
      </w:pPr>
      <w:bookmarkStart w:id="59" w:name="_Toc273680213"/>
      <w:bookmarkStart w:id="60" w:name="_Toc1346650773"/>
      <w:bookmarkStart w:id="61" w:name="_Toc573506745"/>
      <w:bookmarkStart w:id="62" w:name="_Toc44180321"/>
      <w:r>
        <w:rPr>
          <w:rFonts w:hint="eastAsia" w:ascii="宋体" w:hAnsi="宋体"/>
          <w:b/>
          <w:bCs/>
          <w:color w:val="000000"/>
          <w:sz w:val="21"/>
          <w:szCs w:val="21"/>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297180</wp:posOffset>
                </wp:positionV>
                <wp:extent cx="635" cy="0"/>
                <wp:effectExtent l="0" t="4445" r="0" b="5080"/>
                <wp:wrapNone/>
                <wp:docPr id="1" name="直线 89"/>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9" o:spid="_x0000_s1026" o:spt="20" style="position:absolute;left:0pt;margin-left:144pt;margin-top:23.4pt;height:0pt;width:0.05pt;z-index:251659264;mso-width-relative:page;mso-height-relative:page;" filled="f" stroked="t" coordsize="21600,21600" o:gfxdata="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RRwJ51QAAAAkB&#10;AAAPAAAAAAAAAAEAIAAAACIAAABkcnMvZG93bnJldi54bWxQSwECFAAUAAAACACHTuJA+3SLp+UB&#10;AADYAwAADgAAAAAAAAABACAAAAAkAQAAZHJzL2Uyb0RvYy54bWxQSwUGAAAAAAYABgBZAQAAewUA&#10;AAAA&#10;">
                <v:fill on="f" focussize="0,0"/>
                <v:stroke color="#000000" joinstyle="round"/>
                <v:imagedata o:title=""/>
                <o:lock v:ext="edit" aspectratio="f"/>
              </v:line>
            </w:pict>
          </mc:Fallback>
        </mc:AlternateContent>
      </w:r>
      <w:bookmarkEnd w:id="57"/>
      <w:r>
        <w:rPr>
          <w:rFonts w:hint="eastAsia" w:ascii="宋体" w:hAnsi="宋体"/>
          <w:b/>
          <w:bCs/>
          <w:color w:val="000000"/>
          <w:sz w:val="21"/>
          <w:szCs w:val="21"/>
        </w:rPr>
        <w:t>供货与服务范围</w:t>
      </w:r>
      <w:bookmarkEnd w:id="58"/>
      <w:bookmarkEnd w:id="59"/>
      <w:bookmarkEnd w:id="60"/>
      <w:bookmarkEnd w:id="61"/>
      <w:bookmarkEnd w:id="62"/>
    </w:p>
    <w:p>
      <w:pPr>
        <w:pStyle w:val="36"/>
        <w:numPr>
          <w:ilvl w:val="0"/>
          <w:numId w:val="13"/>
        </w:numPr>
        <w:tabs>
          <w:tab w:val="left" w:pos="426"/>
          <w:tab w:val="right" w:pos="9356"/>
          <w:tab w:val="clear" w:pos="9360"/>
        </w:tabs>
        <w:suppressAutoHyphens w:val="0"/>
        <w:spacing w:line="360" w:lineRule="auto"/>
        <w:outlineLvl w:val="0"/>
        <w:rPr>
          <w:rFonts w:hint="eastAsia" w:ascii="宋体" w:hAnsi="宋体"/>
          <w:b/>
          <w:bCs/>
          <w:color w:val="000000"/>
          <w:sz w:val="21"/>
          <w:szCs w:val="21"/>
        </w:rPr>
      </w:pPr>
      <w:bookmarkStart w:id="63" w:name="_Toc38896851"/>
      <w:bookmarkStart w:id="64" w:name="_Toc1380947422"/>
      <w:bookmarkStart w:id="65" w:name="_Toc44180322"/>
      <w:bookmarkStart w:id="66" w:name="_Toc1789062850"/>
      <w:bookmarkStart w:id="67" w:name="_Toc1638702799"/>
      <w:bookmarkStart w:id="68" w:name="_Toc350156118"/>
      <w:r>
        <w:rPr>
          <w:rFonts w:hint="eastAsia"/>
          <w:b/>
          <w:sz w:val="21"/>
          <w:szCs w:val="21"/>
        </w:rPr>
        <w:t>招标人供货范围</w:t>
      </w:r>
      <w:bookmarkEnd w:id="63"/>
      <w:bookmarkEnd w:id="64"/>
      <w:bookmarkEnd w:id="65"/>
      <w:bookmarkEnd w:id="66"/>
      <w:bookmarkEnd w:id="67"/>
    </w:p>
    <w:p>
      <w:pPr>
        <w:numPr>
          <w:ilvl w:val="2"/>
          <w:numId w:val="14"/>
        </w:numPr>
        <w:spacing w:line="360" w:lineRule="auto"/>
        <w:ind w:left="709" w:hanging="709"/>
        <w:rPr>
          <w:rFonts w:hint="eastAsia"/>
          <w:szCs w:val="21"/>
          <w:lang w:val="en-US" w:eastAsia="zh-CN"/>
        </w:rPr>
      </w:pPr>
      <w:r>
        <w:rPr>
          <w:rFonts w:hint="eastAsia"/>
          <w:szCs w:val="21"/>
          <w:lang w:val="en-US" w:eastAsia="zh-CN"/>
        </w:rPr>
        <w:t>提供必要的工作场所，场所内具备电源、网络接入条件。</w:t>
      </w:r>
    </w:p>
    <w:p>
      <w:pPr>
        <w:numPr>
          <w:ilvl w:val="2"/>
          <w:numId w:val="14"/>
        </w:numPr>
        <w:spacing w:line="360" w:lineRule="auto"/>
        <w:ind w:left="709" w:hanging="709"/>
        <w:rPr>
          <w:rFonts w:hint="default"/>
          <w:szCs w:val="21"/>
          <w:lang w:val="en-US" w:eastAsia="zh-CN"/>
        </w:rPr>
      </w:pPr>
      <w:r>
        <w:rPr>
          <w:rFonts w:hint="eastAsia"/>
          <w:szCs w:val="21"/>
          <w:lang w:val="en-US" w:eastAsia="zh-CN"/>
        </w:rPr>
        <w:t>提供档案运送装具。</w:t>
      </w:r>
    </w:p>
    <w:p>
      <w:pPr>
        <w:numPr>
          <w:ilvl w:val="2"/>
          <w:numId w:val="14"/>
        </w:numPr>
        <w:spacing w:line="360" w:lineRule="auto"/>
        <w:ind w:left="709" w:hanging="709"/>
        <w:rPr>
          <w:rFonts w:hint="default"/>
          <w:szCs w:val="21"/>
          <w:lang w:val="en-US" w:eastAsia="zh-CN"/>
        </w:rPr>
      </w:pPr>
      <w:r>
        <w:rPr>
          <w:rFonts w:hint="eastAsia"/>
          <w:szCs w:val="21"/>
          <w:lang w:val="en-US" w:eastAsia="zh-CN"/>
        </w:rPr>
        <w:t>提供服务人员安全教育培训。</w:t>
      </w:r>
    </w:p>
    <w:p>
      <w:pPr>
        <w:pStyle w:val="36"/>
        <w:numPr>
          <w:ilvl w:val="0"/>
          <w:numId w:val="13"/>
        </w:numPr>
        <w:tabs>
          <w:tab w:val="left" w:pos="426"/>
        </w:tabs>
        <w:suppressAutoHyphens w:val="0"/>
        <w:spacing w:line="360" w:lineRule="auto"/>
        <w:outlineLvl w:val="0"/>
        <w:rPr>
          <w:rFonts w:hint="eastAsia" w:ascii="Times New Roman" w:hAnsi="Times New Roman"/>
          <w:b/>
          <w:sz w:val="21"/>
          <w:szCs w:val="21"/>
        </w:rPr>
      </w:pPr>
      <w:bookmarkStart w:id="69" w:name="_Toc44180323"/>
      <w:bookmarkStart w:id="70" w:name="_Toc1273390228"/>
      <w:bookmarkStart w:id="71" w:name="_Toc1860370685"/>
      <w:bookmarkStart w:id="72" w:name="_Toc495503058"/>
      <w:bookmarkStart w:id="73" w:name="_Toc38896852"/>
      <w:r>
        <w:rPr>
          <w:rFonts w:hint="eastAsia"/>
          <w:b/>
          <w:sz w:val="21"/>
          <w:szCs w:val="21"/>
        </w:rPr>
        <w:t>投标人供货范围</w:t>
      </w:r>
      <w:bookmarkEnd w:id="69"/>
      <w:bookmarkEnd w:id="70"/>
      <w:bookmarkEnd w:id="71"/>
      <w:bookmarkEnd w:id="72"/>
      <w:bookmarkEnd w:id="73"/>
    </w:p>
    <w:p>
      <w:pPr>
        <w:spacing w:line="360" w:lineRule="auto"/>
        <w:ind w:firstLine="420" w:firstLineChars="200"/>
        <w:rPr>
          <w:rFonts w:hint="eastAsia"/>
          <w:szCs w:val="21"/>
        </w:rPr>
      </w:pPr>
      <w:r>
        <w:rPr>
          <w:rFonts w:hint="eastAsia"/>
          <w:szCs w:val="21"/>
        </w:rPr>
        <w:t>除了招标人的供货范围，投标人的供货范围将包括使该项目在【5</w:t>
      </w:r>
      <w:r>
        <w:rPr>
          <w:szCs w:val="21"/>
        </w:rPr>
        <w:t>.</w:t>
      </w:r>
      <w:r>
        <w:rPr>
          <w:rFonts w:hint="eastAsia"/>
          <w:szCs w:val="21"/>
        </w:rPr>
        <w:t>交货期与工期】下正常完成达到验收标准所需的全部设备、材料和专用工器具。</w:t>
      </w:r>
    </w:p>
    <w:p>
      <w:pPr>
        <w:pStyle w:val="36"/>
        <w:numPr>
          <w:ilvl w:val="0"/>
          <w:numId w:val="13"/>
        </w:numPr>
        <w:tabs>
          <w:tab w:val="left" w:pos="426"/>
        </w:tabs>
        <w:suppressAutoHyphens w:val="0"/>
        <w:spacing w:line="360" w:lineRule="auto"/>
        <w:outlineLvl w:val="0"/>
        <w:rPr>
          <w:rFonts w:hint="eastAsia"/>
          <w:sz w:val="21"/>
          <w:szCs w:val="21"/>
        </w:rPr>
      </w:pPr>
      <w:bookmarkStart w:id="74" w:name="_Toc44180324"/>
      <w:bookmarkStart w:id="75" w:name="_Toc1331195680"/>
      <w:bookmarkStart w:id="76" w:name="_Toc1179539094"/>
      <w:bookmarkStart w:id="77" w:name="_Toc1920157518"/>
      <w:bookmarkStart w:id="78" w:name="_Toc38896853"/>
      <w:r>
        <w:rPr>
          <w:rFonts w:hint="eastAsia"/>
          <w:b/>
          <w:sz w:val="21"/>
          <w:szCs w:val="21"/>
        </w:rPr>
        <w:t>投标人供货要求</w:t>
      </w:r>
      <w:bookmarkEnd w:id="74"/>
      <w:bookmarkEnd w:id="75"/>
      <w:bookmarkEnd w:id="76"/>
      <w:bookmarkEnd w:id="77"/>
      <w:bookmarkEnd w:id="78"/>
    </w:p>
    <w:p>
      <w:pPr>
        <w:numPr>
          <w:ilvl w:val="2"/>
          <w:numId w:val="15"/>
        </w:numPr>
        <w:spacing w:line="360" w:lineRule="auto"/>
        <w:ind w:left="422" w:leftChars="0" w:hanging="422" w:hangingChars="200"/>
        <w:rPr>
          <w:szCs w:val="21"/>
        </w:rPr>
      </w:pPr>
      <w:r>
        <w:rPr>
          <w:rFonts w:hint="eastAsia"/>
          <w:b/>
          <w:bCs/>
          <w:szCs w:val="21"/>
          <w:lang w:val="en-US" w:eastAsia="zh-CN"/>
        </w:rPr>
        <w:t>档案扫描</w:t>
      </w:r>
      <w:r>
        <w:rPr>
          <w:rFonts w:hint="eastAsia"/>
          <w:b/>
          <w:bCs/>
          <w:szCs w:val="21"/>
        </w:rPr>
        <w:t>。</w:t>
      </w:r>
      <w:r>
        <w:rPr>
          <w:rFonts w:hint="eastAsia"/>
          <w:szCs w:val="21"/>
          <w:lang w:val="en-US" w:eastAsia="zh-CN"/>
        </w:rPr>
        <w:t>根据档案幅面、纸张情况、装订方式选择合适的扫描方式，扫描分辨率不能低于300</w:t>
      </w:r>
      <w:r>
        <w:rPr>
          <w:rFonts w:hint="eastAsia" w:ascii="宋体" w:hAnsi="宋体"/>
          <w:kern w:val="0"/>
          <w:sz w:val="21"/>
          <w:szCs w:val="21"/>
        </w:rPr>
        <w:t>dpi</w:t>
      </w:r>
      <w:r>
        <w:rPr>
          <w:rFonts w:hint="eastAsia" w:ascii="宋体" w:hAnsi="宋体"/>
          <w:kern w:val="0"/>
          <w:sz w:val="21"/>
          <w:szCs w:val="21"/>
          <w:lang w:eastAsia="zh-CN"/>
        </w:rPr>
        <w:t>，</w:t>
      </w:r>
      <w:r>
        <w:rPr>
          <w:rFonts w:hint="eastAsia" w:ascii="宋体" w:hAnsi="宋体"/>
          <w:kern w:val="0"/>
          <w:sz w:val="21"/>
          <w:szCs w:val="21"/>
          <w:lang w:val="en-US" w:eastAsia="zh-CN"/>
        </w:rPr>
        <w:t>如果出现字迹较小较密集的情况，将分辨率提高到600</w:t>
      </w:r>
      <w:r>
        <w:rPr>
          <w:rFonts w:hint="eastAsia" w:ascii="宋体" w:hAnsi="宋体"/>
          <w:kern w:val="0"/>
          <w:sz w:val="21"/>
          <w:szCs w:val="21"/>
        </w:rPr>
        <w:t>dpi</w:t>
      </w:r>
      <w:r>
        <w:rPr>
          <w:rFonts w:hint="eastAsia" w:ascii="宋体" w:hAnsi="宋体"/>
          <w:kern w:val="0"/>
          <w:sz w:val="21"/>
          <w:szCs w:val="21"/>
          <w:lang w:eastAsia="zh-CN"/>
        </w:rPr>
        <w:t>；</w:t>
      </w:r>
      <w:r>
        <w:rPr>
          <w:rFonts w:hint="eastAsia" w:ascii="宋体" w:hAnsi="宋体"/>
          <w:kern w:val="0"/>
          <w:sz w:val="21"/>
          <w:szCs w:val="21"/>
          <w:lang w:val="en-US" w:eastAsia="zh-CN"/>
        </w:rPr>
        <w:t>彩色文件进行全彩扫描，黑白文件使用黑白或灰度扫描。</w:t>
      </w:r>
    </w:p>
    <w:p>
      <w:pPr>
        <w:pStyle w:val="43"/>
        <w:numPr>
          <w:ilvl w:val="2"/>
          <w:numId w:val="15"/>
        </w:numPr>
        <w:autoSpaceDE/>
        <w:autoSpaceDN/>
        <w:spacing w:line="360" w:lineRule="auto"/>
        <w:ind w:left="421" w:hanging="422" w:hangingChars="200"/>
        <w:rPr>
          <w:rFonts w:hint="eastAsia"/>
          <w:szCs w:val="21"/>
        </w:rPr>
      </w:pPr>
      <w:r>
        <w:rPr>
          <w:rFonts w:hint="eastAsia"/>
          <w:b/>
          <w:bCs/>
          <w:szCs w:val="21"/>
          <w:lang w:val="en-US" w:eastAsia="zh-CN"/>
        </w:rPr>
        <w:t>图像处理</w:t>
      </w:r>
      <w:r>
        <w:rPr>
          <w:rFonts w:hint="eastAsia"/>
          <w:b/>
          <w:bCs/>
          <w:szCs w:val="21"/>
        </w:rPr>
        <w:t>。</w:t>
      </w:r>
      <w:r>
        <w:rPr>
          <w:rFonts w:hint="eastAsia" w:ascii="宋体" w:hAnsi="宋体"/>
          <w:kern w:val="0"/>
          <w:sz w:val="21"/>
          <w:szCs w:val="21"/>
        </w:rPr>
        <w:t>逐张检查图像质量（对黑边、折角、图像偏斜度、清晰度、失真度等进行检查，发现不符合图像质量要求时，重新进行图像处理），档案顺序（页号）是否正确，有无漏扫、重张等情况（发现文件漏扫时，应及时补扫并正确插入图像。发现扫描图像的排列顺序与档案原件不一致时，应及时进行调整</w:t>
      </w:r>
      <w:r>
        <w:rPr>
          <w:rFonts w:hint="eastAsia" w:ascii="宋体" w:hAnsi="宋体"/>
          <w:kern w:val="0"/>
          <w:sz w:val="21"/>
          <w:szCs w:val="21"/>
          <w:lang w:eastAsia="zh-CN"/>
        </w:rPr>
        <w:t>）；</w:t>
      </w:r>
      <w:r>
        <w:rPr>
          <w:rFonts w:hint="eastAsia" w:ascii="宋体" w:hAnsi="宋体"/>
          <w:kern w:val="0"/>
          <w:sz w:val="21"/>
          <w:szCs w:val="21"/>
        </w:rPr>
        <w:t>图像整体倾斜不得超过3度（以视觉感受为准），不得出现图像的一部分倾斜或扭曲而影响阅读的现象</w:t>
      </w:r>
      <w:r>
        <w:rPr>
          <w:rFonts w:hint="eastAsia" w:ascii="宋体" w:hAnsi="宋体"/>
          <w:kern w:val="0"/>
          <w:sz w:val="21"/>
          <w:szCs w:val="21"/>
          <w:lang w:eastAsia="zh-CN"/>
        </w:rPr>
        <w:t>；</w:t>
      </w:r>
      <w:r>
        <w:rPr>
          <w:rFonts w:hint="eastAsia" w:ascii="宋体" w:hAnsi="宋体"/>
          <w:kern w:val="0"/>
          <w:sz w:val="21"/>
          <w:szCs w:val="21"/>
        </w:rPr>
        <w:t>所有扫描留下的黑线、指印、阴影或污点都必须清除干净（页面放大到50%的情况下）由于印刷质量或纸张质量等造成的页面上有零星的污点和反面倒映文字污点比较多，如果在页面视图下看不清楚，或该污点嵌在文本行中无法清除，可以不清除，但应尽量保证图像可读。</w:t>
      </w:r>
    </w:p>
    <w:p>
      <w:pPr>
        <w:pStyle w:val="36"/>
        <w:numPr>
          <w:ilvl w:val="0"/>
          <w:numId w:val="13"/>
        </w:numPr>
        <w:tabs>
          <w:tab w:val="left" w:pos="426"/>
        </w:tabs>
        <w:suppressAutoHyphens w:val="0"/>
        <w:spacing w:line="360" w:lineRule="auto"/>
        <w:outlineLvl w:val="0"/>
        <w:rPr>
          <w:rFonts w:hint="eastAsia" w:ascii="宋体" w:hAnsi="宋体"/>
          <w:b/>
          <w:bCs/>
          <w:color w:val="000000"/>
          <w:sz w:val="21"/>
          <w:szCs w:val="21"/>
        </w:rPr>
      </w:pPr>
      <w:bookmarkStart w:id="79" w:name="_Toc38896854"/>
      <w:bookmarkStart w:id="80" w:name="_Toc44180325"/>
      <w:bookmarkStart w:id="81" w:name="_Toc1069989255"/>
      <w:bookmarkStart w:id="82" w:name="_Toc872166574"/>
      <w:bookmarkStart w:id="83" w:name="_Toc1287034332"/>
      <w:r>
        <w:rPr>
          <w:rFonts w:hint="eastAsia" w:ascii="宋体" w:hAnsi="宋体"/>
          <w:b/>
          <w:bCs/>
          <w:color w:val="000000"/>
          <w:sz w:val="21"/>
          <w:szCs w:val="21"/>
        </w:rPr>
        <w:t>拒收</w:t>
      </w:r>
      <w:bookmarkEnd w:id="79"/>
      <w:bookmarkEnd w:id="80"/>
      <w:bookmarkEnd w:id="81"/>
      <w:bookmarkEnd w:id="82"/>
      <w:bookmarkEnd w:id="83"/>
    </w:p>
    <w:p>
      <w:pPr>
        <w:numPr>
          <w:ilvl w:val="0"/>
          <w:numId w:val="16"/>
        </w:numPr>
        <w:spacing w:line="360" w:lineRule="auto"/>
        <w:rPr>
          <w:szCs w:val="21"/>
        </w:rPr>
      </w:pPr>
      <w:r>
        <w:rPr>
          <w:rFonts w:hint="eastAsia"/>
          <w:szCs w:val="21"/>
          <w:lang w:val="en-US" w:eastAsia="zh-CN"/>
        </w:rPr>
        <w:t>电子化文件分辨率达不到标准，拒收。</w:t>
      </w:r>
    </w:p>
    <w:p>
      <w:pPr>
        <w:numPr>
          <w:ilvl w:val="0"/>
          <w:numId w:val="16"/>
        </w:numPr>
        <w:spacing w:line="360" w:lineRule="auto"/>
        <w:rPr>
          <w:szCs w:val="21"/>
        </w:rPr>
      </w:pPr>
      <w:r>
        <w:rPr>
          <w:rFonts w:hint="eastAsia"/>
          <w:szCs w:val="21"/>
          <w:lang w:val="en-US" w:eastAsia="zh-CN"/>
        </w:rPr>
        <w:t>电子化文件出现落页、掉页、折页等，拒收。</w:t>
      </w:r>
    </w:p>
    <w:p>
      <w:pPr>
        <w:numPr>
          <w:ilvl w:val="0"/>
          <w:numId w:val="16"/>
        </w:numPr>
        <w:spacing w:line="360" w:lineRule="auto"/>
        <w:rPr>
          <w:szCs w:val="21"/>
        </w:rPr>
      </w:pPr>
      <w:r>
        <w:rPr>
          <w:rFonts w:hint="eastAsia"/>
          <w:szCs w:val="21"/>
          <w:lang w:val="en-US" w:eastAsia="zh-CN"/>
        </w:rPr>
        <w:t>电子化文件命名与实物不符，拒收。</w:t>
      </w:r>
    </w:p>
    <w:p>
      <w:pPr>
        <w:numPr>
          <w:ilvl w:val="0"/>
          <w:numId w:val="16"/>
        </w:numPr>
        <w:spacing w:line="360" w:lineRule="auto"/>
        <w:rPr>
          <w:szCs w:val="21"/>
        </w:rPr>
      </w:pPr>
      <w:r>
        <w:rPr>
          <w:rFonts w:hint="eastAsia"/>
          <w:szCs w:val="21"/>
          <w:lang w:val="en-US" w:eastAsia="zh-CN"/>
        </w:rPr>
        <w:t>电子化文件质量不佳，如倾斜扭曲，拒收。</w:t>
      </w:r>
    </w:p>
    <w:p>
      <w:pPr>
        <w:numPr>
          <w:ilvl w:val="0"/>
          <w:numId w:val="16"/>
        </w:numPr>
        <w:spacing w:line="360" w:lineRule="auto"/>
        <w:rPr>
          <w:rFonts w:hint="eastAsia"/>
          <w:szCs w:val="21"/>
        </w:rPr>
      </w:pPr>
      <w:r>
        <w:rPr>
          <w:rFonts w:hint="eastAsia"/>
          <w:szCs w:val="21"/>
          <w:lang w:val="en-US" w:eastAsia="zh-CN"/>
        </w:rPr>
        <w:t>未经招标人核实确认的电子化文件，拒收。</w:t>
      </w:r>
      <w:bookmarkEnd w:id="68"/>
      <w:bookmarkStart w:id="84" w:name="_Toc349220121"/>
    </w:p>
    <w:p>
      <w:pPr>
        <w:pStyle w:val="36"/>
        <w:numPr>
          <w:ilvl w:val="0"/>
          <w:numId w:val="13"/>
        </w:numPr>
        <w:tabs>
          <w:tab w:val="left" w:pos="426"/>
        </w:tabs>
        <w:suppressAutoHyphens w:val="0"/>
        <w:spacing w:line="360" w:lineRule="auto"/>
        <w:outlineLvl w:val="0"/>
        <w:rPr>
          <w:rFonts w:hint="eastAsia" w:ascii="宋体" w:hAnsi="宋体"/>
          <w:b/>
          <w:bCs/>
          <w:color w:val="000000"/>
          <w:sz w:val="21"/>
          <w:szCs w:val="21"/>
        </w:rPr>
      </w:pPr>
      <w:bookmarkStart w:id="85" w:name="_Toc859277031"/>
      <w:bookmarkStart w:id="86" w:name="_Toc127077792"/>
      <w:bookmarkStart w:id="87" w:name="_Toc44180327"/>
      <w:bookmarkStart w:id="88" w:name="_Toc208390096"/>
      <w:bookmarkStart w:id="89" w:name="_Toc38896856"/>
      <w:r>
        <w:rPr>
          <w:rFonts w:hint="eastAsia"/>
          <w:b/>
          <w:sz w:val="21"/>
          <w:szCs w:val="21"/>
        </w:rPr>
        <w:t>投标人服务范围</w:t>
      </w:r>
      <w:bookmarkEnd w:id="85"/>
      <w:bookmarkEnd w:id="86"/>
      <w:bookmarkEnd w:id="87"/>
      <w:bookmarkEnd w:id="88"/>
      <w:bookmarkEnd w:id="89"/>
    </w:p>
    <w:p>
      <w:pPr>
        <w:spacing w:line="360" w:lineRule="auto"/>
        <w:ind w:firstLine="420" w:firstLineChars="200"/>
        <w:rPr>
          <w:rFonts w:hint="eastAsia" w:ascii="宋体" w:hAnsi="宋体"/>
          <w:bCs/>
          <w:szCs w:val="21"/>
        </w:rPr>
      </w:pPr>
      <w:r>
        <w:rPr>
          <w:rFonts w:hint="eastAsia" w:ascii="宋体" w:hAnsi="宋体"/>
          <w:bCs/>
          <w:szCs w:val="21"/>
        </w:rPr>
        <w:t>投标人的服务范围包括使该项目在【5.交货期与工期】下正常完成达到验收标准所需的全部服务。</w:t>
      </w:r>
    </w:p>
    <w:p>
      <w:pPr>
        <w:pStyle w:val="36"/>
        <w:numPr>
          <w:ilvl w:val="0"/>
          <w:numId w:val="13"/>
        </w:numPr>
        <w:tabs>
          <w:tab w:val="left" w:pos="426"/>
        </w:tabs>
        <w:suppressAutoHyphens w:val="0"/>
        <w:spacing w:line="360" w:lineRule="auto"/>
        <w:outlineLvl w:val="0"/>
        <w:rPr>
          <w:rFonts w:hint="eastAsia" w:ascii="宋体" w:hAnsi="宋体"/>
          <w:b/>
          <w:bCs/>
          <w:color w:val="000000"/>
          <w:sz w:val="21"/>
          <w:szCs w:val="21"/>
        </w:rPr>
      </w:pPr>
      <w:bookmarkStart w:id="90" w:name="_Toc1836996289"/>
      <w:bookmarkStart w:id="91" w:name="_Toc1103869550"/>
      <w:bookmarkStart w:id="92" w:name="_Toc82712744"/>
      <w:r>
        <w:rPr>
          <w:rFonts w:hint="eastAsia" w:ascii="宋体" w:hAnsi="宋体"/>
          <w:b/>
          <w:bCs/>
          <w:color w:val="000000"/>
          <w:sz w:val="21"/>
          <w:szCs w:val="21"/>
          <w:lang w:eastAsia="zh-CN"/>
        </w:rPr>
        <w:t>计价</w:t>
      </w:r>
      <w:bookmarkEnd w:id="90"/>
      <w:bookmarkEnd w:id="91"/>
      <w:bookmarkEnd w:id="92"/>
    </w:p>
    <w:p>
      <w:pPr>
        <w:numPr>
          <w:ilvl w:val="2"/>
          <w:numId w:val="17"/>
        </w:numPr>
        <w:spacing w:line="360" w:lineRule="auto"/>
        <w:ind w:left="709" w:hanging="709" w:firstLineChars="0"/>
        <w:rPr>
          <w:rFonts w:hint="eastAsia" w:ascii="宋体" w:hAnsi="宋体"/>
          <w:bCs/>
          <w:szCs w:val="21"/>
        </w:rPr>
      </w:pPr>
      <w:r>
        <w:rPr>
          <w:rFonts w:hint="eastAsia" w:ascii="宋体" w:hAnsi="宋体"/>
          <w:bCs/>
          <w:szCs w:val="21"/>
        </w:rPr>
        <w:t>说明：</w:t>
      </w:r>
      <w:r>
        <w:rPr>
          <w:rFonts w:hint="eastAsia" w:ascii="宋体" w:hAnsi="宋体"/>
          <w:bCs/>
          <w:szCs w:val="21"/>
          <w:lang w:eastAsia="zh-CN"/>
        </w:rPr>
        <w:t>本项目为</w:t>
      </w:r>
      <w:r>
        <w:rPr>
          <w:rFonts w:hint="eastAsia" w:ascii="宋体" w:hAnsi="宋体"/>
          <w:bCs/>
          <w:szCs w:val="21"/>
          <w:lang w:val="en-US" w:eastAsia="zh-CN"/>
        </w:rPr>
        <w:t>固定</w:t>
      </w:r>
      <w:r>
        <w:rPr>
          <w:rFonts w:hint="eastAsia" w:ascii="宋体" w:hAnsi="宋体"/>
          <w:bCs/>
          <w:szCs w:val="21"/>
          <w:lang w:eastAsia="zh-CN"/>
        </w:rPr>
        <w:t>单价，</w:t>
      </w:r>
      <w:r>
        <w:rPr>
          <w:rFonts w:hint="eastAsia" w:ascii="宋体" w:hAnsi="宋体"/>
          <w:bCs/>
          <w:szCs w:val="21"/>
        </w:rPr>
        <w:t>包含人工、设备、耗材、管理、利润、税金及保险等全部费用，服务期限内</w:t>
      </w:r>
      <w:r>
        <w:rPr>
          <w:rFonts w:hint="eastAsia" w:ascii="宋体" w:hAnsi="宋体"/>
          <w:bCs/>
          <w:szCs w:val="21"/>
          <w:lang w:val="en-US" w:eastAsia="zh-CN"/>
        </w:rPr>
        <w:t>固定</w:t>
      </w:r>
      <w:r>
        <w:rPr>
          <w:rFonts w:hint="eastAsia" w:ascii="宋体" w:hAnsi="宋体"/>
          <w:bCs/>
          <w:szCs w:val="21"/>
        </w:rPr>
        <w:t>单价不变。</w:t>
      </w:r>
    </w:p>
    <w:p>
      <w:pPr>
        <w:numPr>
          <w:ilvl w:val="2"/>
          <w:numId w:val="17"/>
        </w:numPr>
        <w:spacing w:line="360" w:lineRule="auto"/>
        <w:ind w:left="709" w:hanging="709" w:firstLineChars="0"/>
        <w:rPr>
          <w:rFonts w:hint="eastAsia" w:ascii="宋体" w:hAnsi="宋体"/>
          <w:bCs/>
          <w:szCs w:val="21"/>
        </w:rPr>
      </w:pPr>
      <w:r>
        <w:rPr>
          <w:rFonts w:hint="eastAsia" w:ascii="宋体" w:hAnsi="宋体"/>
          <w:bCs/>
          <w:szCs w:val="21"/>
          <w:lang w:eastAsia="zh-CN"/>
        </w:rPr>
        <w:t>扫描具体内容如下：</w:t>
      </w:r>
    </w:p>
    <w:p>
      <w:pPr>
        <w:numPr>
          <w:ilvl w:val="0"/>
          <w:numId w:val="18"/>
        </w:numPr>
        <w:spacing w:line="360" w:lineRule="auto"/>
        <w:ind w:left="425" w:hanging="425" w:firstLineChars="0"/>
        <w:rPr>
          <w:rFonts w:hint="eastAsia" w:ascii="宋体" w:hAnsi="宋体"/>
          <w:bCs/>
          <w:szCs w:val="21"/>
        </w:rPr>
      </w:pPr>
      <w:r>
        <w:rPr>
          <w:rFonts w:hint="eastAsia" w:ascii="宋体" w:hAnsi="宋体"/>
          <w:bCs/>
          <w:szCs w:val="21"/>
          <w:lang w:eastAsia="zh-CN"/>
        </w:rPr>
        <w:t>富岛公司</w:t>
      </w:r>
      <w:r>
        <w:rPr>
          <w:rFonts w:hint="eastAsia" w:ascii="宋体" w:hAnsi="宋体"/>
          <w:bCs/>
          <w:szCs w:val="21"/>
        </w:rPr>
        <w:t>管理类档案：合同2820册，文件大盒230册（脊背宽5厘米），小盒190册（脊背宽度3.5厘米）；</w:t>
      </w:r>
      <w:r>
        <w:rPr>
          <w:rFonts w:hint="eastAsia" w:ascii="宋体" w:hAnsi="宋体"/>
          <w:bCs/>
          <w:szCs w:val="21"/>
          <w:lang w:eastAsia="zh-CN"/>
        </w:rPr>
        <w:t>富岛公司</w:t>
      </w:r>
      <w:r>
        <w:rPr>
          <w:rFonts w:hint="eastAsia" w:ascii="宋体" w:hAnsi="宋体"/>
          <w:bCs/>
          <w:szCs w:val="21"/>
        </w:rPr>
        <w:t>科学技术类档案：交工技术文件4933册</w:t>
      </w:r>
    </w:p>
    <w:p>
      <w:pPr>
        <w:numPr>
          <w:ilvl w:val="0"/>
          <w:numId w:val="18"/>
        </w:numPr>
        <w:spacing w:line="360" w:lineRule="auto"/>
        <w:ind w:left="425" w:hanging="425" w:firstLineChars="0"/>
        <w:rPr>
          <w:rFonts w:hint="eastAsia" w:ascii="宋体" w:hAnsi="宋体"/>
          <w:bCs/>
          <w:szCs w:val="21"/>
        </w:rPr>
      </w:pPr>
      <w:r>
        <w:rPr>
          <w:rFonts w:hint="eastAsia" w:ascii="宋体" w:hAnsi="宋体"/>
          <w:bCs/>
          <w:szCs w:val="21"/>
        </w:rPr>
        <w:t>海油建滔</w:t>
      </w:r>
      <w:r>
        <w:rPr>
          <w:rFonts w:hint="eastAsia" w:ascii="宋体" w:hAnsi="宋体"/>
          <w:bCs/>
          <w:szCs w:val="21"/>
          <w:lang w:eastAsia="zh-CN"/>
        </w:rPr>
        <w:t>公司</w:t>
      </w:r>
      <w:r>
        <w:rPr>
          <w:rFonts w:hint="eastAsia" w:ascii="宋体" w:hAnsi="宋体"/>
          <w:bCs/>
          <w:szCs w:val="21"/>
        </w:rPr>
        <w:t>档案共5384册</w:t>
      </w:r>
      <w:r>
        <w:rPr>
          <w:rFonts w:hint="eastAsia" w:ascii="宋体" w:hAnsi="宋体"/>
          <w:bCs/>
          <w:szCs w:val="21"/>
          <w:lang w:eastAsia="zh-CN"/>
        </w:rPr>
        <w:t>。</w:t>
      </w:r>
    </w:p>
    <w:p>
      <w:pPr>
        <w:numPr>
          <w:ilvl w:val="0"/>
          <w:numId w:val="18"/>
        </w:numPr>
        <w:spacing w:line="360" w:lineRule="auto"/>
        <w:ind w:left="425" w:hanging="425" w:firstLineChars="0"/>
        <w:rPr>
          <w:rFonts w:hint="eastAsia" w:ascii="宋体" w:hAnsi="宋体"/>
          <w:bCs/>
          <w:szCs w:val="21"/>
        </w:rPr>
      </w:pPr>
      <w:r>
        <w:rPr>
          <w:rFonts w:hint="eastAsia" w:ascii="宋体" w:hAnsi="宋体"/>
          <w:bCs/>
          <w:szCs w:val="21"/>
        </w:rPr>
        <w:t>工作量</w:t>
      </w:r>
      <w:r>
        <w:rPr>
          <w:rFonts w:hint="eastAsia" w:ascii="宋体" w:hAnsi="宋体"/>
          <w:bCs/>
          <w:szCs w:val="21"/>
          <w:lang w:eastAsia="zh-CN"/>
        </w:rPr>
        <w:t>预估数量如下，以实际扫描量为准：</w:t>
      </w:r>
    </w:p>
    <w:tbl>
      <w:tblPr>
        <w:tblStyle w:val="24"/>
        <w:tblW w:w="0" w:type="auto"/>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070"/>
        <w:gridCol w:w="4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407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公司名称</w:t>
            </w:r>
          </w:p>
        </w:tc>
        <w:tc>
          <w:tcPr>
            <w:tcW w:w="4011"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档案页数</w:t>
            </w:r>
          </w:p>
          <w:p>
            <w:pPr>
              <w:spacing w:beforeLines="0" w:afterLines="0"/>
              <w:jc w:val="center"/>
              <w:rPr>
                <w:rFonts w:hint="eastAsia" w:ascii="宋体" w:hAnsi="宋体"/>
                <w:color w:val="000000"/>
                <w:sz w:val="21"/>
                <w:szCs w:val="24"/>
              </w:rPr>
            </w:pPr>
            <w:r>
              <w:rPr>
                <w:rFonts w:hint="eastAsia" w:ascii="宋体" w:hAnsi="宋体"/>
                <w:color w:val="000000"/>
                <w:sz w:val="21"/>
                <w:szCs w:val="24"/>
              </w:rPr>
              <w:t>（折算A4纸）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407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富岛公司</w:t>
            </w:r>
          </w:p>
        </w:tc>
        <w:tc>
          <w:tcPr>
            <w:tcW w:w="4011"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lang w:val="en-US" w:eastAsia="zh-CN"/>
              </w:rPr>
              <w:t>3</w:t>
            </w:r>
            <w:r>
              <w:rPr>
                <w:rFonts w:hint="eastAsia" w:ascii="宋体" w:hAnsi="宋体"/>
                <w:color w:val="000000"/>
                <w:sz w:val="21"/>
                <w:szCs w:val="24"/>
              </w:rPr>
              <w:t>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4070"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rPr>
              <w:t>建滔公司</w:t>
            </w:r>
          </w:p>
        </w:tc>
        <w:tc>
          <w:tcPr>
            <w:tcW w:w="4011" w:type="dxa"/>
            <w:tcBorders>
              <w:top w:val="single" w:color="auto" w:sz="6" w:space="0"/>
              <w:left w:val="single" w:color="auto" w:sz="6" w:space="0"/>
              <w:bottom w:val="single" w:color="auto" w:sz="6" w:space="0"/>
              <w:right w:val="single" w:color="auto" w:sz="6" w:space="0"/>
              <w:tl2br w:val="nil"/>
              <w:tr2bl w:val="nil"/>
            </w:tcBorders>
            <w:noWrap w:val="0"/>
            <w:vAlign w:val="center"/>
          </w:tcPr>
          <w:p>
            <w:pPr>
              <w:spacing w:beforeLines="0" w:afterLines="0"/>
              <w:jc w:val="center"/>
              <w:rPr>
                <w:rFonts w:hint="eastAsia" w:ascii="宋体" w:hAnsi="宋体"/>
                <w:color w:val="000000"/>
                <w:sz w:val="21"/>
                <w:szCs w:val="24"/>
              </w:rPr>
            </w:pPr>
            <w:r>
              <w:rPr>
                <w:rFonts w:hint="eastAsia" w:ascii="宋体" w:hAnsi="宋体"/>
                <w:color w:val="000000"/>
                <w:sz w:val="21"/>
                <w:szCs w:val="24"/>
                <w:lang w:val="en-US" w:eastAsia="zh-CN"/>
              </w:rPr>
              <w:t>2</w:t>
            </w:r>
            <w:r>
              <w:rPr>
                <w:rFonts w:hint="eastAsia" w:ascii="宋体" w:hAnsi="宋体"/>
                <w:color w:val="000000"/>
                <w:sz w:val="21"/>
                <w:szCs w:val="24"/>
              </w:rPr>
              <w:t>000000</w:t>
            </w:r>
          </w:p>
        </w:tc>
      </w:tr>
    </w:tbl>
    <w:p>
      <w:pPr>
        <w:numPr>
          <w:ilvl w:val="2"/>
          <w:numId w:val="17"/>
        </w:numPr>
        <w:spacing w:line="360" w:lineRule="auto"/>
        <w:ind w:left="709" w:hanging="709" w:firstLineChars="0"/>
        <w:rPr>
          <w:rFonts w:hint="eastAsia" w:ascii="宋体" w:hAnsi="宋体"/>
          <w:bCs/>
          <w:szCs w:val="21"/>
        </w:rPr>
      </w:pPr>
      <w:r>
        <w:rPr>
          <w:rFonts w:hint="eastAsia" w:ascii="宋体" w:hAnsi="宋体"/>
          <w:bCs/>
          <w:szCs w:val="21"/>
        </w:rPr>
        <w:t>幅面换算规则：A4为标准页，大幅面文件按面积折算页数</w:t>
      </w:r>
      <w:r>
        <w:rPr>
          <w:rFonts w:hint="eastAsia" w:ascii="宋体" w:hAnsi="宋体"/>
          <w:bCs/>
          <w:szCs w:val="21"/>
          <w:lang w:eastAsia="zh-CN"/>
        </w:rPr>
        <w:t>。如</w:t>
      </w:r>
      <w:r>
        <w:rPr>
          <w:rFonts w:hint="eastAsia" w:ascii="宋体" w:hAnsi="宋体"/>
          <w:bCs/>
          <w:szCs w:val="21"/>
        </w:rPr>
        <w:t>A3按2页折算，A2按4页折算，A1按8页折算，A0按16页折算。</w:t>
      </w:r>
    </w:p>
    <w:bookmarkEnd w:id="84"/>
    <w:p>
      <w:pPr>
        <w:pStyle w:val="36"/>
        <w:numPr>
          <w:ilvl w:val="0"/>
          <w:numId w:val="5"/>
        </w:numPr>
        <w:tabs>
          <w:tab w:val="left" w:pos="426"/>
        </w:tabs>
        <w:suppressAutoHyphens w:val="0"/>
        <w:spacing w:line="360" w:lineRule="auto"/>
        <w:outlineLvl w:val="0"/>
        <w:rPr>
          <w:rFonts w:hint="eastAsia" w:ascii="宋体" w:hAnsi="宋体"/>
          <w:b/>
          <w:bCs/>
          <w:color w:val="000000"/>
          <w:sz w:val="21"/>
          <w:szCs w:val="21"/>
        </w:rPr>
      </w:pPr>
      <w:bookmarkStart w:id="93" w:name="_Toc1902421816"/>
      <w:bookmarkStart w:id="94" w:name="_Toc467802042"/>
      <w:bookmarkStart w:id="95" w:name="_Toc38896857"/>
      <w:bookmarkStart w:id="96" w:name="_Toc44180328"/>
      <w:bookmarkStart w:id="97" w:name="_Toc11717258"/>
      <w:r>
        <w:rPr>
          <w:rFonts w:hint="eastAsia" w:ascii="宋体" w:hAnsi="宋体"/>
          <w:b/>
          <w:bCs/>
          <w:color w:val="000000"/>
          <w:sz w:val="21"/>
          <w:szCs w:val="21"/>
        </w:rPr>
        <w:t>交货期与工期要求</w:t>
      </w:r>
      <w:bookmarkEnd w:id="93"/>
      <w:bookmarkEnd w:id="94"/>
      <w:bookmarkEnd w:id="95"/>
      <w:bookmarkEnd w:id="96"/>
      <w:bookmarkEnd w:id="97"/>
    </w:p>
    <w:p>
      <w:pPr>
        <w:numPr>
          <w:ilvl w:val="1"/>
          <w:numId w:val="19"/>
        </w:numPr>
        <w:spacing w:line="360" w:lineRule="auto"/>
        <w:ind w:left="567" w:hanging="567"/>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富岛公司：本合同周期自签订合同之日起3个月。</w:t>
      </w:r>
    </w:p>
    <w:p>
      <w:pPr>
        <w:numPr>
          <w:ilvl w:val="1"/>
          <w:numId w:val="19"/>
        </w:numPr>
        <w:spacing w:line="360" w:lineRule="auto"/>
        <w:ind w:left="567" w:hanging="567"/>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海油建滔：本合同周期自签订合同之日起4个月。</w:t>
      </w:r>
    </w:p>
    <w:p>
      <w:pPr>
        <w:numPr>
          <w:ilvl w:val="1"/>
          <w:numId w:val="19"/>
        </w:numPr>
        <w:spacing w:line="360" w:lineRule="auto"/>
        <w:ind w:left="567" w:hanging="567"/>
        <w:rPr>
          <w:rFonts w:hint="eastAsia" w:ascii="宋体" w:hAnsi="宋体"/>
          <w:szCs w:val="21"/>
          <w:lang w:val="zh-CN"/>
        </w:rPr>
      </w:pPr>
      <w:r>
        <w:rPr>
          <w:rFonts w:hint="eastAsia"/>
          <w:color w:val="auto"/>
          <w:szCs w:val="21"/>
          <w:highlight w:val="none"/>
        </w:rPr>
        <w:t>超过</w:t>
      </w:r>
      <w:r>
        <w:rPr>
          <w:rFonts w:hint="eastAsia"/>
          <w:color w:val="auto"/>
          <w:szCs w:val="21"/>
          <w:highlight w:val="none"/>
          <w:lang w:eastAsia="zh-CN"/>
        </w:rPr>
        <w:t>服务</w:t>
      </w:r>
      <w:r>
        <w:rPr>
          <w:rFonts w:hint="eastAsia"/>
          <w:color w:val="auto"/>
          <w:szCs w:val="21"/>
          <w:highlight w:val="none"/>
        </w:rPr>
        <w:t>工期将被</w:t>
      </w:r>
      <w:r>
        <w:rPr>
          <w:color w:val="auto"/>
          <w:szCs w:val="21"/>
          <w:highlight w:val="none"/>
        </w:rPr>
        <w:t>视为违约，依据合同条款</w:t>
      </w:r>
      <w:r>
        <w:rPr>
          <w:rFonts w:hint="eastAsia"/>
          <w:color w:val="auto"/>
          <w:szCs w:val="21"/>
          <w:highlight w:val="none"/>
        </w:rPr>
        <w:t>进行</w:t>
      </w:r>
      <w:r>
        <w:rPr>
          <w:color w:val="auto"/>
          <w:szCs w:val="21"/>
          <w:highlight w:val="none"/>
        </w:rPr>
        <w:t>处罚。</w:t>
      </w:r>
    </w:p>
    <w:p>
      <w:pPr>
        <w:pStyle w:val="36"/>
        <w:numPr>
          <w:ilvl w:val="0"/>
          <w:numId w:val="5"/>
        </w:numPr>
        <w:tabs>
          <w:tab w:val="left" w:pos="426"/>
        </w:tabs>
        <w:suppressAutoHyphens w:val="0"/>
        <w:spacing w:line="360" w:lineRule="auto"/>
        <w:outlineLvl w:val="0"/>
        <w:rPr>
          <w:rFonts w:hint="eastAsia" w:ascii="宋体" w:hAnsi="宋体" w:eastAsia="宋体" w:cs="Times New Roman"/>
          <w:b/>
          <w:bCs/>
          <w:color w:val="000000"/>
          <w:sz w:val="21"/>
          <w:szCs w:val="21"/>
        </w:rPr>
      </w:pPr>
      <w:bookmarkStart w:id="98" w:name="_Toc44180329"/>
      <w:bookmarkStart w:id="99" w:name="_Toc1755965657"/>
      <w:bookmarkStart w:id="100" w:name="_Toc1650110874"/>
      <w:bookmarkStart w:id="101" w:name="_Toc38896858"/>
      <w:bookmarkStart w:id="102" w:name="_Toc1067667127"/>
      <w:r>
        <w:rPr>
          <w:rFonts w:hint="eastAsia" w:ascii="宋体" w:hAnsi="宋体" w:eastAsia="宋体" w:cs="Times New Roman"/>
          <w:b/>
          <w:bCs/>
          <w:color w:val="000000"/>
          <w:sz w:val="21"/>
          <w:szCs w:val="21"/>
        </w:rPr>
        <w:t>检验</w:t>
      </w:r>
      <w:bookmarkEnd w:id="98"/>
      <w:bookmarkEnd w:id="99"/>
      <w:bookmarkEnd w:id="100"/>
      <w:bookmarkEnd w:id="101"/>
      <w:bookmarkEnd w:id="102"/>
    </w:p>
    <w:p>
      <w:pPr>
        <w:numPr>
          <w:ilvl w:val="1"/>
          <w:numId w:val="20"/>
        </w:numPr>
        <w:spacing w:line="360" w:lineRule="auto"/>
        <w:ind w:left="567" w:hanging="567"/>
        <w:rPr>
          <w:rFonts w:hint="eastAsia" w:ascii="宋体" w:hAnsi="宋体"/>
          <w:szCs w:val="21"/>
          <w:lang w:val="en-US" w:eastAsia="zh-CN"/>
        </w:rPr>
      </w:pPr>
      <w:r>
        <w:rPr>
          <w:rFonts w:hint="eastAsia" w:ascii="宋体" w:hAnsi="宋体"/>
          <w:szCs w:val="21"/>
          <w:lang w:val="en-US" w:eastAsia="zh-CN"/>
        </w:rPr>
        <w:t>实行即时验收制度，完成一批招标人验收一批，经双方核实无误后及时入库。</w:t>
      </w:r>
    </w:p>
    <w:p>
      <w:pPr>
        <w:numPr>
          <w:ilvl w:val="1"/>
          <w:numId w:val="20"/>
        </w:numPr>
        <w:spacing w:line="360" w:lineRule="auto"/>
        <w:ind w:left="567" w:hanging="567"/>
        <w:rPr>
          <w:rFonts w:hint="eastAsia" w:ascii="宋体" w:hAnsi="宋体"/>
          <w:b/>
          <w:bCs/>
          <w:color w:val="000000"/>
          <w:sz w:val="21"/>
          <w:szCs w:val="21"/>
        </w:rPr>
      </w:pPr>
      <w:r>
        <w:rPr>
          <w:rFonts w:hint="eastAsia" w:ascii="宋体" w:hAnsi="宋体"/>
          <w:szCs w:val="21"/>
          <w:lang w:val="en-US" w:eastAsia="zh-CN"/>
        </w:rPr>
        <w:t>所有电子化文件以光盘或硬盘形式设备2份备份文件。</w:t>
      </w:r>
    </w:p>
    <w:p>
      <w:pPr>
        <w:pStyle w:val="36"/>
        <w:numPr>
          <w:ilvl w:val="0"/>
          <w:numId w:val="5"/>
        </w:numPr>
        <w:tabs>
          <w:tab w:val="left" w:pos="426"/>
        </w:tabs>
        <w:suppressAutoHyphens w:val="0"/>
        <w:spacing w:line="360" w:lineRule="auto"/>
        <w:outlineLvl w:val="0"/>
        <w:rPr>
          <w:rFonts w:hint="eastAsia" w:ascii="宋体" w:hAnsi="宋体" w:eastAsia="宋体" w:cs="Times New Roman"/>
          <w:b/>
          <w:bCs/>
          <w:color w:val="000000"/>
          <w:sz w:val="21"/>
          <w:szCs w:val="21"/>
        </w:rPr>
      </w:pPr>
      <w:bookmarkStart w:id="103" w:name="_Toc350325980"/>
      <w:bookmarkEnd w:id="103"/>
      <w:bookmarkStart w:id="104" w:name="_Toc350329512"/>
      <w:bookmarkEnd w:id="104"/>
      <w:bookmarkStart w:id="105" w:name="_Toc350325986"/>
      <w:bookmarkEnd w:id="105"/>
      <w:bookmarkStart w:id="106" w:name="_Toc350325987"/>
      <w:bookmarkEnd w:id="106"/>
      <w:bookmarkStart w:id="107" w:name="_Toc350325981"/>
      <w:bookmarkEnd w:id="107"/>
      <w:bookmarkStart w:id="108" w:name="_Toc350325979"/>
      <w:bookmarkEnd w:id="108"/>
      <w:bookmarkStart w:id="109" w:name="_Toc350329515"/>
      <w:bookmarkEnd w:id="109"/>
      <w:bookmarkStart w:id="110" w:name="_Toc350325982"/>
      <w:bookmarkEnd w:id="110"/>
      <w:bookmarkStart w:id="111" w:name="_Toc350325985"/>
      <w:bookmarkEnd w:id="111"/>
      <w:bookmarkStart w:id="112" w:name="_Toc350329517"/>
      <w:bookmarkEnd w:id="112"/>
      <w:bookmarkStart w:id="113" w:name="_Toc350329510"/>
      <w:bookmarkEnd w:id="113"/>
      <w:bookmarkStart w:id="114" w:name="_Toc350329518"/>
      <w:bookmarkEnd w:id="114"/>
      <w:bookmarkStart w:id="115" w:name="_Toc350329519"/>
      <w:bookmarkEnd w:id="115"/>
      <w:bookmarkStart w:id="116" w:name="_Toc350329516"/>
      <w:bookmarkEnd w:id="116"/>
      <w:bookmarkStart w:id="117" w:name="_Toc350325978"/>
      <w:bookmarkEnd w:id="117"/>
      <w:bookmarkStart w:id="118" w:name="_Toc350329511"/>
      <w:bookmarkEnd w:id="118"/>
      <w:bookmarkStart w:id="119" w:name="_Toc350325984"/>
      <w:bookmarkEnd w:id="119"/>
      <w:bookmarkStart w:id="120" w:name="_Toc350329513"/>
      <w:bookmarkEnd w:id="120"/>
      <w:bookmarkStart w:id="121" w:name="_Toc350329514"/>
      <w:bookmarkEnd w:id="121"/>
      <w:bookmarkStart w:id="122" w:name="_Toc350325983"/>
      <w:bookmarkEnd w:id="122"/>
      <w:bookmarkStart w:id="123" w:name="_Toc74780988"/>
      <w:bookmarkStart w:id="124" w:name="_Toc793382192"/>
      <w:bookmarkStart w:id="125" w:name="_Toc38896860"/>
      <w:bookmarkStart w:id="126" w:name="_Toc59126815"/>
      <w:bookmarkStart w:id="127" w:name="_Toc44180331"/>
      <w:r>
        <w:rPr>
          <w:rFonts w:hint="eastAsia" w:ascii="宋体" w:hAnsi="宋体" w:eastAsia="宋体" w:cs="Times New Roman"/>
          <w:b/>
          <w:bCs/>
          <w:color w:val="000000"/>
          <w:sz w:val="21"/>
          <w:szCs w:val="21"/>
        </w:rPr>
        <w:t>技术投标文件要求</w:t>
      </w:r>
      <w:bookmarkEnd w:id="123"/>
      <w:bookmarkEnd w:id="124"/>
      <w:bookmarkEnd w:id="125"/>
      <w:bookmarkEnd w:id="126"/>
      <w:bookmarkEnd w:id="127"/>
    </w:p>
    <w:p>
      <w:pPr>
        <w:numPr>
          <w:ilvl w:val="1"/>
          <w:numId w:val="21"/>
        </w:numPr>
        <w:spacing w:line="360" w:lineRule="auto"/>
        <w:ind w:left="567" w:leftChars="0" w:hanging="567"/>
        <w:rPr>
          <w:szCs w:val="21"/>
        </w:rPr>
      </w:pPr>
      <w:r>
        <w:rPr>
          <w:rFonts w:hint="eastAsia"/>
          <w:szCs w:val="21"/>
        </w:rPr>
        <w:t>公司简介</w:t>
      </w:r>
    </w:p>
    <w:p>
      <w:pPr>
        <w:numPr>
          <w:ilvl w:val="1"/>
          <w:numId w:val="21"/>
        </w:numPr>
        <w:spacing w:line="360" w:lineRule="auto"/>
        <w:ind w:left="567" w:leftChars="0" w:hanging="567"/>
        <w:rPr>
          <w:rFonts w:hint="eastAsia"/>
          <w:szCs w:val="21"/>
        </w:rPr>
      </w:pPr>
      <w:r>
        <w:rPr>
          <w:rFonts w:hint="eastAsia"/>
          <w:szCs w:val="21"/>
        </w:rPr>
        <w:t>公司、</w:t>
      </w:r>
      <w:r>
        <w:rPr>
          <w:szCs w:val="21"/>
        </w:rPr>
        <w:t>人员</w:t>
      </w:r>
      <w:r>
        <w:rPr>
          <w:rFonts w:hint="eastAsia"/>
          <w:szCs w:val="21"/>
        </w:rPr>
        <w:t>资质及取证情况。</w:t>
      </w:r>
    </w:p>
    <w:p>
      <w:pPr>
        <w:numPr>
          <w:ilvl w:val="1"/>
          <w:numId w:val="21"/>
        </w:numPr>
        <w:spacing w:line="360" w:lineRule="auto"/>
        <w:ind w:left="567" w:leftChars="0" w:hanging="567"/>
        <w:rPr>
          <w:szCs w:val="21"/>
        </w:rPr>
      </w:pPr>
      <w:r>
        <w:rPr>
          <w:rFonts w:hint="eastAsia"/>
          <w:szCs w:val="21"/>
        </w:rPr>
        <w:t>近3年内同类或类似服务业绩。</w:t>
      </w:r>
    </w:p>
    <w:p>
      <w:pPr>
        <w:numPr>
          <w:ilvl w:val="1"/>
          <w:numId w:val="21"/>
        </w:numPr>
        <w:spacing w:line="360" w:lineRule="auto"/>
        <w:ind w:left="567" w:leftChars="0" w:hanging="567"/>
        <w:rPr>
          <w:szCs w:val="21"/>
        </w:rPr>
      </w:pPr>
      <w:r>
        <w:rPr>
          <w:rFonts w:hint="eastAsia"/>
          <w:szCs w:val="21"/>
        </w:rPr>
        <w:t>动员计划（附件2）</w:t>
      </w:r>
    </w:p>
    <w:p>
      <w:pPr>
        <w:numPr>
          <w:ilvl w:val="1"/>
          <w:numId w:val="21"/>
        </w:numPr>
        <w:spacing w:line="360" w:lineRule="auto"/>
        <w:ind w:left="567" w:leftChars="0" w:hanging="567"/>
        <w:rPr>
          <w:rFonts w:hint="eastAsia"/>
          <w:szCs w:val="21"/>
        </w:rPr>
      </w:pPr>
      <w:r>
        <w:rPr>
          <w:rFonts w:hint="eastAsia"/>
          <w:szCs w:val="21"/>
        </w:rPr>
        <w:t>技术方案。</w:t>
      </w:r>
    </w:p>
    <w:p>
      <w:pPr>
        <w:numPr>
          <w:ilvl w:val="1"/>
          <w:numId w:val="21"/>
        </w:numPr>
        <w:spacing w:line="360" w:lineRule="auto"/>
        <w:ind w:left="567" w:leftChars="0" w:hanging="567"/>
        <w:rPr>
          <w:szCs w:val="21"/>
        </w:rPr>
      </w:pPr>
      <w:r>
        <w:rPr>
          <w:rFonts w:hint="eastAsia"/>
          <w:szCs w:val="21"/>
        </w:rPr>
        <w:t>使用的标准规范。</w:t>
      </w:r>
    </w:p>
    <w:p>
      <w:pPr>
        <w:numPr>
          <w:ilvl w:val="1"/>
          <w:numId w:val="21"/>
        </w:numPr>
        <w:spacing w:line="360" w:lineRule="auto"/>
        <w:ind w:left="567" w:leftChars="0" w:hanging="567"/>
        <w:rPr>
          <w:rFonts w:hint="eastAsia"/>
          <w:szCs w:val="21"/>
        </w:rPr>
      </w:pPr>
      <w:r>
        <w:rPr>
          <w:rFonts w:hint="eastAsia"/>
          <w:szCs w:val="21"/>
        </w:rPr>
        <w:t>服务范围及工</w:t>
      </w:r>
      <w:r>
        <w:rPr>
          <w:szCs w:val="21"/>
        </w:rPr>
        <w:t>期</w:t>
      </w:r>
      <w:r>
        <w:rPr>
          <w:rFonts w:hint="eastAsia"/>
          <w:szCs w:val="21"/>
        </w:rPr>
        <w:t>。</w:t>
      </w:r>
    </w:p>
    <w:p>
      <w:pPr>
        <w:numPr>
          <w:ilvl w:val="1"/>
          <w:numId w:val="21"/>
        </w:numPr>
        <w:spacing w:line="360" w:lineRule="auto"/>
        <w:ind w:left="567" w:leftChars="0" w:hanging="567"/>
        <w:rPr>
          <w:szCs w:val="21"/>
        </w:rPr>
      </w:pPr>
      <w:r>
        <w:rPr>
          <w:rFonts w:hint="eastAsia"/>
          <w:szCs w:val="21"/>
        </w:rPr>
        <w:t>详细的进度控制计划表及进度保证措施。</w:t>
      </w:r>
    </w:p>
    <w:p>
      <w:pPr>
        <w:numPr>
          <w:ilvl w:val="1"/>
          <w:numId w:val="21"/>
        </w:numPr>
        <w:spacing w:line="360" w:lineRule="auto"/>
        <w:ind w:left="567" w:leftChars="0" w:hanging="567"/>
        <w:rPr>
          <w:rFonts w:hint="eastAsia"/>
          <w:szCs w:val="21"/>
        </w:rPr>
      </w:pPr>
      <w:r>
        <w:rPr>
          <w:rFonts w:hint="eastAsia"/>
          <w:szCs w:val="21"/>
        </w:rPr>
        <w:t>服务及质量承诺。</w:t>
      </w:r>
    </w:p>
    <w:p>
      <w:pPr>
        <w:numPr>
          <w:ilvl w:val="1"/>
          <w:numId w:val="21"/>
        </w:numPr>
        <w:spacing w:line="360" w:lineRule="auto"/>
        <w:ind w:left="567" w:leftChars="0" w:hanging="567"/>
        <w:rPr>
          <w:rFonts w:hint="eastAsia"/>
          <w:szCs w:val="21"/>
        </w:rPr>
      </w:pPr>
      <w:r>
        <w:rPr>
          <w:rFonts w:hint="eastAsia"/>
          <w:szCs w:val="21"/>
        </w:rPr>
        <w:t>技术偏离等（</w:t>
      </w:r>
      <w:r>
        <w:rPr>
          <w:szCs w:val="21"/>
        </w:rPr>
        <w:t>附件</w:t>
      </w:r>
      <w:r>
        <w:rPr>
          <w:rFonts w:hint="eastAsia"/>
          <w:szCs w:val="21"/>
        </w:rPr>
        <w:t>3）。</w:t>
      </w:r>
    </w:p>
    <w:p>
      <w:pPr>
        <w:pStyle w:val="47"/>
        <w:rPr>
          <w:rFonts w:hint="eastAsia"/>
        </w:rPr>
        <w:sectPr>
          <w:pgSz w:w="11906" w:h="16838"/>
          <w:pgMar w:top="1440" w:right="1559" w:bottom="936" w:left="1701" w:header="851" w:footer="567" w:gutter="0"/>
          <w:pgNumType w:start="1"/>
          <w:cols w:space="720" w:num="1"/>
          <w:docGrid w:linePitch="312" w:charSpace="0"/>
        </w:sectPr>
      </w:pPr>
    </w:p>
    <w:p>
      <w:pPr>
        <w:pStyle w:val="47"/>
        <w:rPr>
          <w:rFonts w:hint="eastAsia"/>
        </w:rPr>
      </w:pPr>
      <w:bookmarkStart w:id="128" w:name="_Toc479519301"/>
      <w:bookmarkStart w:id="129" w:name="_Toc44180334"/>
      <w:bookmarkStart w:id="130" w:name="_Toc816880075"/>
      <w:bookmarkStart w:id="131" w:name="_Toc1494022544"/>
      <w:r>
        <w:rPr>
          <w:rFonts w:hint="eastAsia"/>
        </w:rPr>
        <w:t>附件</w:t>
      </w:r>
      <w:r>
        <w:rPr>
          <w:rFonts w:hint="eastAsia"/>
          <w:lang w:val="en-US" w:eastAsia="zh-CN"/>
        </w:rPr>
        <w:t>1</w:t>
      </w:r>
      <w:r>
        <w:rPr>
          <w:rFonts w:hint="eastAsia"/>
        </w:rPr>
        <w:t>动员计划</w:t>
      </w:r>
      <w:bookmarkEnd w:id="128"/>
      <w:bookmarkEnd w:id="129"/>
      <w:bookmarkEnd w:id="130"/>
      <w:bookmarkEnd w:id="131"/>
    </w:p>
    <w:p>
      <w:pPr>
        <w:spacing w:line="360" w:lineRule="auto"/>
        <w:jc w:val="center"/>
        <w:rPr>
          <w:rFonts w:hint="eastAsia"/>
        </w:rPr>
      </w:pPr>
      <w:r>
        <w:rPr>
          <w:rFonts w:hint="eastAsia"/>
        </w:rPr>
        <w:t>表</w:t>
      </w:r>
      <w:r>
        <w:t>1</w:t>
      </w:r>
      <w:r>
        <w:rPr>
          <w:rFonts w:hint="eastAsia"/>
        </w:rPr>
        <w:t>人力动员计划</w:t>
      </w:r>
    </w:p>
    <w:tbl>
      <w:tblPr>
        <w:tblStyle w:val="24"/>
        <w:tblW w:w="8505" w:type="dxa"/>
        <w:tblInd w:w="108" w:type="dxa"/>
        <w:tblLayout w:type="fixed"/>
        <w:tblCellMar>
          <w:top w:w="0" w:type="dxa"/>
          <w:left w:w="108" w:type="dxa"/>
          <w:bottom w:w="0" w:type="dxa"/>
          <w:right w:w="108" w:type="dxa"/>
        </w:tblCellMar>
      </w:tblPr>
      <w:tblGrid>
        <w:gridCol w:w="709"/>
        <w:gridCol w:w="1418"/>
        <w:gridCol w:w="1701"/>
        <w:gridCol w:w="2409"/>
        <w:gridCol w:w="709"/>
        <w:gridCol w:w="1559"/>
      </w:tblGrid>
      <w:tr>
        <w:tblPrEx>
          <w:tblCellMar>
            <w:top w:w="0" w:type="dxa"/>
            <w:left w:w="108" w:type="dxa"/>
            <w:bottom w:w="0" w:type="dxa"/>
            <w:right w:w="108" w:type="dxa"/>
          </w:tblCellMar>
        </w:tblPrEx>
        <w:trPr>
          <w:trHeight w:val="48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bCs/>
                <w:sz w:val="18"/>
                <w:szCs w:val="21"/>
              </w:rPr>
            </w:pPr>
            <w:r>
              <w:rPr>
                <w:rFonts w:hint="eastAsia" w:ascii="宋体" w:hAnsi="宋体"/>
                <w:bCs/>
                <w:sz w:val="18"/>
                <w:szCs w:val="21"/>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bCs/>
                <w:sz w:val="18"/>
                <w:szCs w:val="21"/>
              </w:rPr>
            </w:pPr>
            <w:r>
              <w:rPr>
                <w:rFonts w:hint="eastAsia" w:ascii="宋体" w:hAnsi="宋体"/>
                <w:bCs/>
                <w:sz w:val="18"/>
                <w:szCs w:val="21"/>
              </w:rPr>
              <w:t>姓名</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bCs/>
                <w:sz w:val="18"/>
                <w:szCs w:val="21"/>
              </w:rPr>
            </w:pPr>
            <w:r>
              <w:rPr>
                <w:rFonts w:hint="eastAsia" w:ascii="宋体" w:hAnsi="宋体"/>
                <w:bCs/>
                <w:sz w:val="18"/>
                <w:szCs w:val="21"/>
              </w:rPr>
              <w:t>工种</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bCs/>
                <w:sz w:val="18"/>
                <w:szCs w:val="21"/>
              </w:rPr>
            </w:pPr>
            <w:r>
              <w:rPr>
                <w:rFonts w:hint="eastAsia" w:ascii="宋体" w:hAnsi="宋体"/>
                <w:bCs/>
                <w:sz w:val="18"/>
                <w:szCs w:val="21"/>
              </w:rPr>
              <w:t>技术资格</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bCs/>
                <w:sz w:val="18"/>
                <w:szCs w:val="21"/>
              </w:rPr>
            </w:pPr>
            <w:r>
              <w:rPr>
                <w:rFonts w:hint="eastAsia" w:ascii="宋体" w:hAnsi="宋体"/>
                <w:bCs/>
                <w:sz w:val="18"/>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bCs/>
                <w:sz w:val="18"/>
                <w:szCs w:val="21"/>
              </w:rPr>
            </w:pPr>
            <w:r>
              <w:rPr>
                <w:rFonts w:hint="eastAsia" w:ascii="宋体" w:hAnsi="宋体"/>
                <w:bCs/>
                <w:sz w:val="18"/>
                <w:szCs w:val="21"/>
              </w:rPr>
              <w:t>备注</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sz w:val="18"/>
                <w:szCs w:val="21"/>
              </w:rPr>
            </w:pPr>
            <w:r>
              <w:rPr>
                <w:rFonts w:hint="eastAsia" w:ascii="宋体" w:hAnsi="宋体"/>
                <w:sz w:val="18"/>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ascii="宋体" w:hAnsi="宋体"/>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ascii="宋体" w:hAnsi="宋体"/>
                <w:kern w:val="0"/>
                <w:sz w:val="18"/>
                <w:szCs w:val="21"/>
              </w:rPr>
            </w:pPr>
            <w:r>
              <w:rPr>
                <w:rFonts w:hint="eastAsia" w:ascii="宋体" w:hAnsi="宋体"/>
                <w:kern w:val="0"/>
                <w:sz w:val="18"/>
                <w:szCs w:val="21"/>
              </w:rPr>
              <w:t>单独逐项列明</w:t>
            </w:r>
          </w:p>
        </w:tc>
      </w:tr>
      <w:tr>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r>
              <w:rPr>
                <w:rFonts w:hint="eastAsia" w:ascii="宋体" w:hAnsi="宋体"/>
                <w:sz w:val="18"/>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rPr>
                <w:rFonts w:hint="eastAsia" w:ascii="宋体" w:hAnsi="宋体"/>
                <w:sz w:val="18"/>
                <w:szCs w:val="21"/>
              </w:rPr>
            </w:pPr>
          </w:p>
        </w:tc>
      </w:tr>
      <w:tr>
        <w:tblPrEx>
          <w:tblCellMar>
            <w:top w:w="0" w:type="dxa"/>
            <w:left w:w="108" w:type="dxa"/>
            <w:bottom w:w="0" w:type="dxa"/>
            <w:right w:w="108" w:type="dxa"/>
          </w:tblCellMar>
        </w:tblPrEx>
        <w:trPr>
          <w:trHeight w:val="4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r>
              <w:rPr>
                <w:rFonts w:hint="eastAsia" w:ascii="宋体" w:hAnsi="宋体"/>
                <w:sz w:val="18"/>
                <w:szCs w:val="21"/>
              </w:rPr>
              <w:t>.</w:t>
            </w:r>
            <w:r>
              <w:rPr>
                <w:rFonts w:ascii="宋体" w:hAnsi="宋体"/>
                <w:sz w:val="18"/>
                <w:szCs w:val="21"/>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 w:val="18"/>
                <w:szCs w:val="21"/>
              </w:rPr>
            </w:pPr>
            <w:r>
              <w:rPr>
                <w:rFonts w:hint="eastAsia" w:ascii="宋体" w:hAnsi="宋体"/>
                <w:sz w:val="18"/>
                <w:szCs w:val="21"/>
              </w:rPr>
              <w:t>.</w:t>
            </w:r>
            <w:r>
              <w:rPr>
                <w:rFonts w:ascii="宋体" w:hAnsi="宋体"/>
                <w:sz w:val="18"/>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r>
              <w:rPr>
                <w:rFonts w:ascii="宋体" w:hAnsi="宋体"/>
                <w:sz w:val="18"/>
                <w:szCs w:val="21"/>
              </w:rPr>
              <w:t>…</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sz w:val="18"/>
                <w:szCs w:val="21"/>
              </w:rPr>
            </w:pPr>
            <w:r>
              <w:rPr>
                <w:rFonts w:ascii="宋体" w:hAnsi="宋体"/>
                <w:sz w:val="18"/>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r>
              <w:rPr>
                <w:rFonts w:ascii="宋体" w:hAnsi="宋体"/>
                <w:sz w:val="18"/>
                <w:szCs w:val="21"/>
              </w:rPr>
              <w:t>…</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pStyle w:val="36"/>
              <w:tabs>
                <w:tab w:val="left" w:pos="426"/>
                <w:tab w:val="clear" w:pos="9000"/>
                <w:tab w:val="clear" w:pos="9360"/>
              </w:tabs>
              <w:suppressAutoHyphens w:val="0"/>
              <w:spacing w:line="360" w:lineRule="auto"/>
              <w:jc w:val="center"/>
              <w:rPr>
                <w:rFonts w:hint="eastAsia" w:ascii="宋体" w:hAnsi="宋体"/>
                <w:sz w:val="18"/>
                <w:szCs w:val="21"/>
              </w:rPr>
            </w:pPr>
            <w:r>
              <w:rPr>
                <w:rFonts w:ascii="宋体" w:hAnsi="宋体"/>
                <w:sz w:val="18"/>
                <w:szCs w:val="21"/>
              </w:rPr>
              <w:t>…</w:t>
            </w:r>
          </w:p>
        </w:tc>
      </w:tr>
    </w:tbl>
    <w:p>
      <w:pPr>
        <w:spacing w:line="360" w:lineRule="auto"/>
        <w:rPr>
          <w:rFonts w:hint="eastAsia" w:ascii="宋体" w:hAnsi="宋体"/>
          <w:szCs w:val="21"/>
        </w:rPr>
      </w:pPr>
    </w:p>
    <w:p>
      <w:pPr>
        <w:spacing w:line="360" w:lineRule="auto"/>
        <w:jc w:val="center"/>
        <w:rPr>
          <w:rFonts w:hint="eastAsia"/>
        </w:rPr>
      </w:pPr>
      <w:r>
        <w:rPr>
          <w:rFonts w:hint="eastAsia"/>
        </w:rPr>
        <w:t>表</w:t>
      </w:r>
      <w:r>
        <w:t>2</w:t>
      </w:r>
      <w:r>
        <w:rPr>
          <w:rFonts w:hint="eastAsia"/>
        </w:rPr>
        <w:t>工机具动员计划</w:t>
      </w:r>
    </w:p>
    <w:tbl>
      <w:tblPr>
        <w:tblStyle w:val="24"/>
        <w:tblW w:w="8505" w:type="dxa"/>
        <w:tblInd w:w="108" w:type="dxa"/>
        <w:tblLayout w:type="fixed"/>
        <w:tblCellMar>
          <w:top w:w="0" w:type="dxa"/>
          <w:left w:w="108" w:type="dxa"/>
          <w:bottom w:w="0" w:type="dxa"/>
          <w:right w:w="108" w:type="dxa"/>
        </w:tblCellMar>
      </w:tblPr>
      <w:tblGrid>
        <w:gridCol w:w="709"/>
        <w:gridCol w:w="1418"/>
        <w:gridCol w:w="1701"/>
        <w:gridCol w:w="2409"/>
        <w:gridCol w:w="709"/>
        <w:gridCol w:w="1559"/>
      </w:tblGrid>
      <w:tr>
        <w:tblPrEx>
          <w:tblCellMar>
            <w:top w:w="0" w:type="dxa"/>
            <w:left w:w="108" w:type="dxa"/>
            <w:bottom w:w="0" w:type="dxa"/>
            <w:right w:w="108" w:type="dxa"/>
          </w:tblCellMar>
        </w:tblPrEx>
        <w:trPr>
          <w:trHeight w:val="481"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bCs/>
                <w:kern w:val="0"/>
                <w:sz w:val="18"/>
                <w:szCs w:val="21"/>
              </w:rPr>
            </w:pPr>
            <w:r>
              <w:rPr>
                <w:rFonts w:hint="eastAsia" w:ascii="宋体" w:hAnsi="宋体"/>
                <w:bCs/>
                <w:kern w:val="0"/>
                <w:sz w:val="18"/>
                <w:szCs w:val="21"/>
              </w:rPr>
              <w:t>序号</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bCs/>
                <w:kern w:val="0"/>
                <w:sz w:val="18"/>
                <w:szCs w:val="21"/>
              </w:rPr>
            </w:pPr>
            <w:r>
              <w:rPr>
                <w:rFonts w:hint="eastAsia" w:ascii="宋体" w:hAnsi="宋体"/>
                <w:bCs/>
                <w:kern w:val="0"/>
                <w:sz w:val="18"/>
                <w:szCs w:val="21"/>
              </w:rPr>
              <w:t>名称</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bCs/>
                <w:kern w:val="0"/>
                <w:sz w:val="18"/>
                <w:szCs w:val="21"/>
              </w:rPr>
            </w:pPr>
            <w:r>
              <w:rPr>
                <w:rFonts w:hint="eastAsia" w:ascii="宋体" w:hAnsi="宋体"/>
                <w:bCs/>
                <w:kern w:val="0"/>
                <w:sz w:val="18"/>
                <w:szCs w:val="21"/>
              </w:rPr>
              <w:t>品牌</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bCs/>
                <w:kern w:val="0"/>
                <w:sz w:val="18"/>
                <w:szCs w:val="21"/>
              </w:rPr>
            </w:pPr>
            <w:r>
              <w:rPr>
                <w:rFonts w:hint="eastAsia" w:ascii="宋体" w:hAnsi="宋体"/>
                <w:bCs/>
                <w:kern w:val="0"/>
                <w:sz w:val="18"/>
                <w:szCs w:val="21"/>
              </w:rPr>
              <w:t>规格型号</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bCs/>
                <w:kern w:val="0"/>
                <w:sz w:val="18"/>
                <w:szCs w:val="21"/>
              </w:rPr>
            </w:pPr>
            <w:r>
              <w:rPr>
                <w:rFonts w:hint="eastAsia" w:ascii="宋体" w:hAnsi="宋体"/>
                <w:bCs/>
                <w:kern w:val="0"/>
                <w:sz w:val="18"/>
                <w:szCs w:val="21"/>
              </w:rPr>
              <w:t>数量</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bCs/>
                <w:kern w:val="0"/>
                <w:sz w:val="18"/>
                <w:szCs w:val="21"/>
              </w:rPr>
            </w:pPr>
            <w:r>
              <w:rPr>
                <w:rFonts w:hint="eastAsia" w:ascii="宋体" w:hAnsi="宋体"/>
                <w:bCs/>
                <w:kern w:val="0"/>
                <w:sz w:val="18"/>
                <w:szCs w:val="21"/>
              </w:rPr>
              <w:t>备注</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kern w:val="0"/>
                <w:sz w:val="18"/>
                <w:szCs w:val="21"/>
              </w:rPr>
            </w:pPr>
            <w:r>
              <w:rPr>
                <w:rFonts w:hint="eastAsia" w:ascii="宋体" w:hAnsi="宋体"/>
                <w:kern w:val="0"/>
                <w:sz w:val="18"/>
                <w:szCs w:val="21"/>
              </w:rPr>
              <w:t>1</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ascii="宋体" w:hAnsi="宋体"/>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ascii="宋体" w:hAnsi="宋体"/>
                <w:kern w:val="0"/>
                <w:sz w:val="18"/>
                <w:szCs w:val="21"/>
              </w:rPr>
            </w:pPr>
            <w:r>
              <w:rPr>
                <w:rFonts w:hint="eastAsia" w:ascii="宋体" w:hAnsi="宋体"/>
                <w:kern w:val="0"/>
                <w:sz w:val="18"/>
                <w:szCs w:val="21"/>
              </w:rPr>
              <w:t>单独逐项列明</w:t>
            </w: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hint="eastAsia" w:ascii="宋体" w:hAnsi="宋体"/>
                <w:kern w:val="0"/>
                <w:sz w:val="18"/>
                <w:szCs w:val="21"/>
              </w:rPr>
              <w:t>2</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ascii="宋体" w:hAnsi="宋体"/>
                <w:kern w:val="0"/>
                <w:sz w:val="18"/>
                <w:szCs w:val="21"/>
              </w:rPr>
            </w:pPr>
          </w:p>
        </w:tc>
      </w:tr>
      <w:tr>
        <w:tblPrEx>
          <w:tblCellMar>
            <w:top w:w="0" w:type="dxa"/>
            <w:left w:w="108" w:type="dxa"/>
            <w:bottom w:w="0" w:type="dxa"/>
            <w:right w:w="108" w:type="dxa"/>
          </w:tblCellMar>
        </w:tblPrEx>
        <w:trPr>
          <w:trHeight w:val="33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hint="eastAsia" w:ascii="宋体" w:hAnsi="宋体"/>
                <w:kern w:val="0"/>
                <w:sz w:val="18"/>
                <w:szCs w:val="21"/>
              </w:rPr>
              <w:t>3</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 w:val="18"/>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18"/>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left"/>
              <w:rPr>
                <w:rFonts w:hint="eastAsia" w:ascii="宋体" w:hAnsi="宋体"/>
                <w:kern w:val="0"/>
                <w:sz w:val="18"/>
                <w:szCs w:val="21"/>
              </w:rPr>
            </w:pPr>
          </w:p>
        </w:tc>
      </w:tr>
      <w:tr>
        <w:tblPrEx>
          <w:tblCellMar>
            <w:top w:w="0" w:type="dxa"/>
            <w:left w:w="108" w:type="dxa"/>
            <w:bottom w:w="0" w:type="dxa"/>
            <w:right w:w="108" w:type="dxa"/>
          </w:tblCellMar>
        </w:tblPrEx>
        <w:trPr>
          <w:trHeight w:val="413" w:hRule="atLeast"/>
        </w:trPr>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hint="eastAsia" w:ascii="宋体" w:hAnsi="宋体"/>
                <w:kern w:val="0"/>
                <w:sz w:val="18"/>
                <w:szCs w:val="21"/>
              </w:rPr>
              <w:t>.</w:t>
            </w:r>
            <w:r>
              <w:rPr>
                <w:rFonts w:ascii="宋体" w:hAnsi="宋体"/>
                <w:kern w:val="0"/>
                <w:sz w:val="18"/>
                <w:szCs w:val="21"/>
              </w:rPr>
              <w:t>.</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18"/>
                <w:szCs w:val="21"/>
              </w:rPr>
            </w:pPr>
            <w:r>
              <w:rPr>
                <w:rFonts w:hint="eastAsia" w:ascii="宋体" w:hAnsi="宋体"/>
                <w:sz w:val="18"/>
                <w:szCs w:val="21"/>
              </w:rPr>
              <w:t>.</w:t>
            </w:r>
            <w:r>
              <w:rPr>
                <w:rFonts w:ascii="宋体" w:hAnsi="宋体"/>
                <w:sz w:val="18"/>
                <w:szCs w:val="21"/>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ascii="宋体" w:hAnsi="宋体"/>
                <w:kern w:val="0"/>
                <w:sz w:val="18"/>
                <w:szCs w:val="21"/>
              </w:rPr>
              <w:t>…</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18"/>
                <w:szCs w:val="21"/>
              </w:rPr>
            </w:pPr>
            <w:r>
              <w:rPr>
                <w:rFonts w:ascii="宋体" w:hAnsi="宋体"/>
                <w:sz w:val="18"/>
                <w:szCs w:val="21"/>
              </w:rPr>
              <w:t>…</w:t>
            </w:r>
          </w:p>
        </w:tc>
        <w:tc>
          <w:tcPr>
            <w:tcW w:w="70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ascii="宋体" w:hAnsi="宋体"/>
                <w:kern w:val="0"/>
                <w:sz w:val="18"/>
                <w:szCs w:val="21"/>
              </w:rPr>
              <w:t>…</w:t>
            </w:r>
          </w:p>
        </w:tc>
        <w:tc>
          <w:tcPr>
            <w:tcW w:w="1559"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426"/>
              </w:tabs>
              <w:jc w:val="center"/>
              <w:rPr>
                <w:rFonts w:hint="eastAsia" w:ascii="宋体" w:hAnsi="宋体"/>
                <w:kern w:val="0"/>
                <w:sz w:val="18"/>
                <w:szCs w:val="21"/>
              </w:rPr>
            </w:pPr>
            <w:r>
              <w:rPr>
                <w:rFonts w:ascii="宋体" w:hAnsi="宋体"/>
                <w:kern w:val="0"/>
                <w:sz w:val="18"/>
                <w:szCs w:val="21"/>
              </w:rPr>
              <w:t>…</w:t>
            </w:r>
          </w:p>
        </w:tc>
      </w:tr>
    </w:tbl>
    <w:p>
      <w:pPr>
        <w:spacing w:line="360" w:lineRule="auto"/>
        <w:ind w:firstLine="424" w:firstLineChars="202"/>
        <w:rPr>
          <w:rFonts w:hint="eastAsia" w:ascii="宋体" w:hAnsi="宋体"/>
          <w:szCs w:val="21"/>
        </w:rPr>
      </w:pPr>
    </w:p>
    <w:p>
      <w:pPr>
        <w:pStyle w:val="47"/>
        <w:rPr>
          <w:rFonts w:hint="eastAsia"/>
        </w:rPr>
      </w:pPr>
      <w:bookmarkStart w:id="132" w:name="_Toc676149136"/>
      <w:bookmarkStart w:id="133" w:name="_Toc381706860"/>
      <w:bookmarkStart w:id="134" w:name="_Toc381706332"/>
      <w:bookmarkStart w:id="135" w:name="_Toc44180335"/>
      <w:bookmarkStart w:id="136" w:name="_Toc1329586520"/>
      <w:bookmarkStart w:id="137" w:name="_Toc381706233"/>
      <w:bookmarkStart w:id="138" w:name="_Toc38896863"/>
      <w:bookmarkStart w:id="139" w:name="_Toc381169840"/>
      <w:bookmarkStart w:id="140" w:name="_Toc368312905"/>
      <w:r>
        <w:rPr>
          <w:rFonts w:hint="eastAsia"/>
        </w:rPr>
        <w:t>附件</w:t>
      </w:r>
      <w:r>
        <w:rPr>
          <w:rFonts w:hint="eastAsia"/>
          <w:lang w:val="en-US" w:eastAsia="zh-CN"/>
        </w:rPr>
        <w:t>2</w:t>
      </w:r>
      <w:r>
        <w:rPr>
          <w:rFonts w:hint="eastAsia"/>
        </w:rPr>
        <w:t xml:space="preserve"> 技术偏离表</w:t>
      </w:r>
      <w:bookmarkEnd w:id="132"/>
      <w:bookmarkEnd w:id="133"/>
      <w:bookmarkEnd w:id="134"/>
      <w:bookmarkEnd w:id="135"/>
      <w:bookmarkEnd w:id="136"/>
      <w:bookmarkEnd w:id="137"/>
      <w:bookmarkEnd w:id="138"/>
      <w:bookmarkEnd w:id="139"/>
      <w:bookmarkEnd w:id="140"/>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996"/>
        <w:gridCol w:w="2788"/>
        <w:gridCol w:w="895"/>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5" w:type="pct"/>
            <w:vMerge w:val="restart"/>
            <w:noWrap w:val="0"/>
            <w:vAlign w:val="center"/>
          </w:tcPr>
          <w:p>
            <w:pPr>
              <w:spacing w:line="480" w:lineRule="exact"/>
              <w:jc w:val="center"/>
              <w:rPr>
                <w:rFonts w:ascii="宋体" w:hAnsi="宋体"/>
                <w:szCs w:val="21"/>
              </w:rPr>
            </w:pPr>
            <w:r>
              <w:rPr>
                <w:rFonts w:hint="eastAsia" w:ascii="宋体" w:hAnsi="宋体"/>
                <w:szCs w:val="21"/>
              </w:rPr>
              <w:t>序号</w:t>
            </w:r>
          </w:p>
        </w:tc>
        <w:tc>
          <w:tcPr>
            <w:tcW w:w="2135" w:type="pct"/>
            <w:gridSpan w:val="2"/>
            <w:noWrap w:val="0"/>
            <w:vAlign w:val="center"/>
          </w:tcPr>
          <w:p>
            <w:pPr>
              <w:spacing w:line="480" w:lineRule="exact"/>
              <w:jc w:val="center"/>
              <w:rPr>
                <w:rFonts w:ascii="宋体" w:hAnsi="宋体"/>
                <w:szCs w:val="21"/>
              </w:rPr>
            </w:pPr>
            <w:r>
              <w:rPr>
                <w:rFonts w:hint="eastAsia" w:ascii="宋体" w:hAnsi="宋体"/>
                <w:szCs w:val="21"/>
              </w:rPr>
              <w:t>技术询价文件</w:t>
            </w:r>
          </w:p>
        </w:tc>
        <w:tc>
          <w:tcPr>
            <w:tcW w:w="2470" w:type="pct"/>
            <w:gridSpan w:val="2"/>
            <w:noWrap w:val="0"/>
            <w:vAlign w:val="center"/>
          </w:tcPr>
          <w:p>
            <w:pPr>
              <w:spacing w:line="480" w:lineRule="exact"/>
              <w:jc w:val="center"/>
              <w:rPr>
                <w:rFonts w:ascii="宋体" w:hAnsi="宋体"/>
                <w:szCs w:val="21"/>
              </w:rPr>
            </w:pPr>
            <w:r>
              <w:rPr>
                <w:rFonts w:hint="eastAsia" w:ascii="宋体" w:hAnsi="宋体"/>
                <w:szCs w:val="21"/>
              </w:rPr>
              <w:t>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5" w:type="pct"/>
            <w:vMerge w:val="continue"/>
            <w:noWrap w:val="0"/>
            <w:vAlign w:val="center"/>
          </w:tcPr>
          <w:p>
            <w:pPr>
              <w:spacing w:line="480" w:lineRule="exact"/>
              <w:jc w:val="center"/>
              <w:rPr>
                <w:rFonts w:ascii="宋体" w:hAnsi="宋体"/>
                <w:szCs w:val="21"/>
              </w:rPr>
            </w:pPr>
          </w:p>
        </w:tc>
        <w:tc>
          <w:tcPr>
            <w:tcW w:w="562" w:type="pct"/>
            <w:noWrap w:val="0"/>
            <w:vAlign w:val="center"/>
          </w:tcPr>
          <w:p>
            <w:pPr>
              <w:spacing w:line="480" w:lineRule="exact"/>
              <w:jc w:val="center"/>
              <w:rPr>
                <w:rFonts w:ascii="宋体" w:hAnsi="宋体"/>
                <w:szCs w:val="21"/>
              </w:rPr>
            </w:pPr>
            <w:r>
              <w:rPr>
                <w:rFonts w:hint="eastAsia" w:ascii="宋体" w:hAnsi="宋体"/>
                <w:szCs w:val="21"/>
              </w:rPr>
              <w:t>条目</w:t>
            </w:r>
          </w:p>
        </w:tc>
        <w:tc>
          <w:tcPr>
            <w:tcW w:w="1573" w:type="pct"/>
            <w:noWrap w:val="0"/>
            <w:vAlign w:val="center"/>
          </w:tcPr>
          <w:p>
            <w:pPr>
              <w:spacing w:line="480" w:lineRule="exact"/>
              <w:jc w:val="center"/>
              <w:rPr>
                <w:rFonts w:ascii="宋体" w:hAnsi="宋体"/>
                <w:szCs w:val="21"/>
              </w:rPr>
            </w:pPr>
            <w:r>
              <w:rPr>
                <w:rFonts w:hint="eastAsia" w:ascii="宋体" w:hAnsi="宋体"/>
                <w:szCs w:val="21"/>
              </w:rPr>
              <w:t>简要内容</w:t>
            </w:r>
          </w:p>
        </w:tc>
        <w:tc>
          <w:tcPr>
            <w:tcW w:w="505" w:type="pct"/>
            <w:noWrap w:val="0"/>
            <w:vAlign w:val="center"/>
          </w:tcPr>
          <w:p>
            <w:pPr>
              <w:spacing w:line="480" w:lineRule="exact"/>
              <w:jc w:val="center"/>
              <w:rPr>
                <w:rFonts w:ascii="宋体" w:hAnsi="宋体"/>
                <w:szCs w:val="21"/>
              </w:rPr>
            </w:pPr>
            <w:r>
              <w:rPr>
                <w:rFonts w:hint="eastAsia" w:ascii="宋体" w:hAnsi="宋体"/>
                <w:szCs w:val="21"/>
              </w:rPr>
              <w:t>条目</w:t>
            </w:r>
          </w:p>
        </w:tc>
        <w:tc>
          <w:tcPr>
            <w:tcW w:w="1965" w:type="pct"/>
            <w:noWrap w:val="0"/>
            <w:vAlign w:val="center"/>
          </w:tcPr>
          <w:p>
            <w:pPr>
              <w:spacing w:line="480" w:lineRule="exact"/>
              <w:jc w:val="center"/>
              <w:rPr>
                <w:rFonts w:ascii="宋体" w:hAnsi="宋体"/>
                <w:szCs w:val="21"/>
              </w:rPr>
            </w:pPr>
            <w:r>
              <w:rPr>
                <w:rFonts w:hint="eastAsia" w:ascii="宋体" w:hAnsi="宋体"/>
                <w:szCs w:val="21"/>
              </w:rPr>
              <w:t>简要内容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395" w:type="pct"/>
            <w:noWrap w:val="0"/>
            <w:vAlign w:val="center"/>
          </w:tcPr>
          <w:p>
            <w:pPr>
              <w:spacing w:line="480" w:lineRule="exact"/>
              <w:jc w:val="center"/>
              <w:rPr>
                <w:rFonts w:ascii="宋体" w:hAnsi="宋体"/>
                <w:szCs w:val="21"/>
              </w:rPr>
            </w:pPr>
          </w:p>
        </w:tc>
        <w:tc>
          <w:tcPr>
            <w:tcW w:w="562" w:type="pct"/>
            <w:noWrap w:val="0"/>
            <w:vAlign w:val="center"/>
          </w:tcPr>
          <w:p>
            <w:pPr>
              <w:spacing w:line="480" w:lineRule="exact"/>
              <w:jc w:val="center"/>
              <w:rPr>
                <w:rFonts w:ascii="宋体" w:hAnsi="宋体"/>
                <w:szCs w:val="21"/>
              </w:rPr>
            </w:pPr>
          </w:p>
        </w:tc>
        <w:tc>
          <w:tcPr>
            <w:tcW w:w="1573" w:type="pct"/>
            <w:noWrap w:val="0"/>
            <w:vAlign w:val="center"/>
          </w:tcPr>
          <w:p>
            <w:pPr>
              <w:spacing w:line="480" w:lineRule="exact"/>
              <w:jc w:val="center"/>
              <w:rPr>
                <w:rFonts w:ascii="宋体" w:hAnsi="宋体"/>
                <w:szCs w:val="21"/>
              </w:rPr>
            </w:pPr>
          </w:p>
        </w:tc>
        <w:tc>
          <w:tcPr>
            <w:tcW w:w="505" w:type="pct"/>
            <w:noWrap w:val="0"/>
            <w:vAlign w:val="center"/>
          </w:tcPr>
          <w:p>
            <w:pPr>
              <w:spacing w:line="480" w:lineRule="exact"/>
              <w:jc w:val="center"/>
              <w:rPr>
                <w:rFonts w:ascii="宋体" w:hAnsi="宋体"/>
                <w:szCs w:val="21"/>
              </w:rPr>
            </w:pPr>
          </w:p>
        </w:tc>
        <w:tc>
          <w:tcPr>
            <w:tcW w:w="1965" w:type="pct"/>
            <w:noWrap w:val="0"/>
            <w:vAlign w:val="center"/>
          </w:tcPr>
          <w:p>
            <w:pPr>
              <w:spacing w:line="48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top"/>
          </w:tcPr>
          <w:p>
            <w:pPr>
              <w:spacing w:line="480" w:lineRule="exact"/>
              <w:rPr>
                <w:rFonts w:ascii="宋体" w:hAnsi="宋体"/>
                <w:szCs w:val="21"/>
              </w:rPr>
            </w:pPr>
          </w:p>
        </w:tc>
        <w:tc>
          <w:tcPr>
            <w:tcW w:w="562" w:type="pct"/>
            <w:noWrap w:val="0"/>
            <w:vAlign w:val="top"/>
          </w:tcPr>
          <w:p>
            <w:pPr>
              <w:spacing w:line="480" w:lineRule="exact"/>
              <w:rPr>
                <w:rFonts w:ascii="宋体" w:hAnsi="宋体"/>
                <w:szCs w:val="21"/>
              </w:rPr>
            </w:pPr>
          </w:p>
        </w:tc>
        <w:tc>
          <w:tcPr>
            <w:tcW w:w="1573" w:type="pct"/>
            <w:noWrap w:val="0"/>
            <w:vAlign w:val="top"/>
          </w:tcPr>
          <w:p>
            <w:pPr>
              <w:spacing w:line="480" w:lineRule="exact"/>
              <w:rPr>
                <w:rFonts w:ascii="宋体" w:hAnsi="宋体"/>
                <w:szCs w:val="21"/>
              </w:rPr>
            </w:pPr>
          </w:p>
        </w:tc>
        <w:tc>
          <w:tcPr>
            <w:tcW w:w="505" w:type="pct"/>
            <w:noWrap w:val="0"/>
            <w:vAlign w:val="top"/>
          </w:tcPr>
          <w:p>
            <w:pPr>
              <w:spacing w:line="480" w:lineRule="exact"/>
              <w:rPr>
                <w:rFonts w:ascii="宋体" w:hAnsi="宋体"/>
                <w:szCs w:val="21"/>
              </w:rPr>
            </w:pPr>
          </w:p>
        </w:tc>
        <w:tc>
          <w:tcPr>
            <w:tcW w:w="1965" w:type="pct"/>
            <w:noWrap w:val="0"/>
            <w:vAlign w:val="top"/>
          </w:tcPr>
          <w:p>
            <w:pPr>
              <w:spacing w:line="48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top"/>
          </w:tcPr>
          <w:p>
            <w:pPr>
              <w:spacing w:line="480" w:lineRule="exact"/>
              <w:rPr>
                <w:rFonts w:ascii="宋体" w:hAnsi="宋体"/>
                <w:szCs w:val="21"/>
              </w:rPr>
            </w:pPr>
          </w:p>
        </w:tc>
        <w:tc>
          <w:tcPr>
            <w:tcW w:w="562" w:type="pct"/>
            <w:noWrap w:val="0"/>
            <w:vAlign w:val="top"/>
          </w:tcPr>
          <w:p>
            <w:pPr>
              <w:spacing w:line="480" w:lineRule="exact"/>
              <w:rPr>
                <w:rFonts w:ascii="宋体" w:hAnsi="宋体"/>
                <w:szCs w:val="21"/>
              </w:rPr>
            </w:pPr>
          </w:p>
        </w:tc>
        <w:tc>
          <w:tcPr>
            <w:tcW w:w="1573" w:type="pct"/>
            <w:noWrap w:val="0"/>
            <w:vAlign w:val="top"/>
          </w:tcPr>
          <w:p>
            <w:pPr>
              <w:spacing w:line="480" w:lineRule="exact"/>
              <w:rPr>
                <w:rFonts w:ascii="宋体" w:hAnsi="宋体"/>
                <w:szCs w:val="21"/>
              </w:rPr>
            </w:pPr>
          </w:p>
        </w:tc>
        <w:tc>
          <w:tcPr>
            <w:tcW w:w="505" w:type="pct"/>
            <w:noWrap w:val="0"/>
            <w:vAlign w:val="top"/>
          </w:tcPr>
          <w:p>
            <w:pPr>
              <w:spacing w:line="480" w:lineRule="exact"/>
              <w:rPr>
                <w:rFonts w:ascii="宋体" w:hAnsi="宋体"/>
                <w:szCs w:val="21"/>
              </w:rPr>
            </w:pPr>
          </w:p>
        </w:tc>
        <w:tc>
          <w:tcPr>
            <w:tcW w:w="1965" w:type="pct"/>
            <w:noWrap w:val="0"/>
            <w:vAlign w:val="top"/>
          </w:tcPr>
          <w:p>
            <w:pPr>
              <w:spacing w:line="480" w:lineRule="exact"/>
              <w:rPr>
                <w:rFonts w:ascii="宋体" w:hAnsi="宋体"/>
                <w:szCs w:val="21"/>
              </w:rPr>
            </w:pPr>
          </w:p>
        </w:tc>
      </w:tr>
    </w:tbl>
    <w:p>
      <w:pPr>
        <w:widowControl/>
        <w:tabs>
          <w:tab w:val="left" w:pos="426"/>
          <w:tab w:val="left" w:pos="9000"/>
          <w:tab w:val="right" w:pos="9360"/>
        </w:tabs>
        <w:spacing w:line="360" w:lineRule="auto"/>
        <w:jc w:val="left"/>
        <w:outlineLvl w:val="0"/>
        <w:rPr>
          <w:rFonts w:hint="eastAsia" w:ascii="宋体" w:hAnsi="宋体"/>
          <w:color w:val="FF0000"/>
          <w:szCs w:val="21"/>
        </w:rPr>
      </w:pPr>
    </w:p>
    <w:sectPr>
      <w:pgSz w:w="11906" w:h="16838"/>
      <w:pgMar w:top="1440" w:right="1559" w:bottom="936" w:left="1701" w:header="851" w:footer="56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00"/>
    <w:family w:val="modern"/>
    <w:pitch w:val="default"/>
    <w:sig w:usb0="00000000" w:usb1="00000000" w:usb2="00000000" w:usb3="00000000" w:csb0="00040000" w:csb1="00000000"/>
  </w:font>
  <w:font w:name=", Arial">
    <w:altName w:val="Arial"/>
    <w:panose1 w:val="00000000000000000000"/>
    <w:charset w:val="00"/>
    <w:family w:val="roman"/>
    <w:pitch w:val="default"/>
    <w:sig w:usb0="00000000" w:usb1="00000000" w:usb2="00000000" w:usb3="00000000" w:csb0="00000001" w:csb1="00000000"/>
  </w:font>
  <w:font w:name="Arial Unicode MS">
    <w:altName w:val="Arial"/>
    <w:panose1 w:val="020B0604020202020204"/>
    <w:charset w:val="00"/>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国标宋体">
    <w:altName w:val="宋体"/>
    <w:panose1 w:val="020005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7"/>
      </w:rPr>
    </w:pPr>
    <w:r>
      <w:rPr>
        <w:rStyle w:val="27"/>
      </w:rPr>
      <w:fldChar w:fldCharType="begin"/>
    </w:r>
    <w:r>
      <w:rPr>
        <w:rStyle w:val="27"/>
      </w:rPr>
      <w:instrText xml:space="preserve">PAGE  </w:instrText>
    </w:r>
    <w:r>
      <w:rPr>
        <w:rStyle w:val="27"/>
      </w:rPr>
      <w:fldChar w:fldCharType="end"/>
    </w:r>
  </w:p>
  <w:p>
    <w:pPr>
      <w:pStyle w:val="1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rPr>
        <w:lang w:val="zh-CN" w:eastAsia="zh-CN"/>
      </w:rPr>
      <w:t>3</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rPr>
    </w:pPr>
    <w:r>
      <w:rPr>
        <w:rFonts w:hint="eastAsia"/>
      </w:rPr>
      <w:t>中海石油化学股份有限公司                                            XXXX项目技术询价文件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lang w:eastAsia="zh-CN"/>
      </w:rPr>
      <w:t>海洋石油富岛</w:t>
    </w:r>
    <w:r>
      <w:rPr>
        <w:rFonts w:hint="eastAsia"/>
      </w:rPr>
      <w:t xml:space="preserve">有限公司              </w:t>
    </w:r>
    <w:r>
      <w:t xml:space="preserve">   </w:t>
    </w:r>
    <w:r>
      <w:rPr>
        <w:rFonts w:hint="eastAsia"/>
      </w:rPr>
      <w:t xml:space="preserve">       </w:t>
    </w:r>
    <w:r>
      <w:t xml:space="preserve">  </w:t>
    </w:r>
    <w:r>
      <w:rPr>
        <w:rFonts w:hint="eastAsia"/>
      </w:rPr>
      <w:t xml:space="preserve">                         </w:t>
    </w:r>
  </w:p>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FEB97"/>
    <w:multiLevelType w:val="singleLevel"/>
    <w:tmpl w:val="9DFFEB97"/>
    <w:lvl w:ilvl="0" w:tentative="0">
      <w:start w:val="1"/>
      <w:numFmt w:val="decimal"/>
      <w:lvlText w:val="(%1)"/>
      <w:lvlJc w:val="left"/>
      <w:pPr>
        <w:ind w:left="425" w:hanging="425"/>
      </w:pPr>
      <w:rPr>
        <w:rFonts w:hint="default"/>
      </w:rPr>
    </w:lvl>
  </w:abstractNum>
  <w:abstractNum w:abstractNumId="1">
    <w:nsid w:val="9FFF7D0F"/>
    <w:multiLevelType w:val="singleLevel"/>
    <w:tmpl w:val="9FFF7D0F"/>
    <w:lvl w:ilvl="0" w:tentative="0">
      <w:start w:val="1"/>
      <w:numFmt w:val="decimal"/>
      <w:lvlText w:val="%1."/>
      <w:lvlJc w:val="left"/>
      <w:pPr>
        <w:ind w:left="425" w:hanging="425"/>
      </w:pPr>
      <w:rPr>
        <w:rFonts w:hint="default"/>
      </w:rPr>
    </w:lvl>
  </w:abstractNum>
  <w:abstractNum w:abstractNumId="2">
    <w:nsid w:val="AB1EECF4"/>
    <w:multiLevelType w:val="singleLevel"/>
    <w:tmpl w:val="AB1EECF4"/>
    <w:lvl w:ilvl="0" w:tentative="0">
      <w:start w:val="1"/>
      <w:numFmt w:val="decimal"/>
      <w:lvlText w:val="(%1)"/>
      <w:lvlJc w:val="left"/>
      <w:pPr>
        <w:ind w:left="425" w:hanging="425"/>
      </w:pPr>
      <w:rPr>
        <w:rFonts w:hint="default"/>
      </w:rPr>
    </w:lvl>
  </w:abstractNum>
  <w:abstractNum w:abstractNumId="3">
    <w:nsid w:val="DFFD495F"/>
    <w:multiLevelType w:val="multilevel"/>
    <w:tmpl w:val="DFFD495F"/>
    <w:lvl w:ilvl="0" w:tentative="0">
      <w:start w:val="6"/>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b w:val="0"/>
        <w:bCs w:val="0"/>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EEB6A431"/>
    <w:multiLevelType w:val="singleLevel"/>
    <w:tmpl w:val="EEB6A431"/>
    <w:lvl w:ilvl="0" w:tentative="0">
      <w:start w:val="1"/>
      <w:numFmt w:val="decimal"/>
      <w:lvlText w:val="(%1)"/>
      <w:lvlJc w:val="left"/>
      <w:pPr>
        <w:ind w:left="425" w:hanging="425"/>
      </w:pPr>
      <w:rPr>
        <w:rFonts w:hint="default"/>
      </w:rPr>
    </w:lvl>
  </w:abstractNum>
  <w:abstractNum w:abstractNumId="5">
    <w:nsid w:val="FCFD335C"/>
    <w:multiLevelType w:val="multilevel"/>
    <w:tmpl w:val="FCFD335C"/>
    <w:lvl w:ilvl="0" w:tentative="0">
      <w:start w:val="4"/>
      <w:numFmt w:val="decimal"/>
      <w:lvlText w:val="%1."/>
      <w:lvlJc w:val="left"/>
      <w:pPr>
        <w:ind w:left="425" w:hanging="425"/>
      </w:pPr>
      <w:rPr>
        <w:rFonts w:hint="default"/>
      </w:rPr>
    </w:lvl>
    <w:lvl w:ilvl="1" w:tentative="0">
      <w:start w:val="3"/>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FF7F5D88"/>
    <w:multiLevelType w:val="multilevel"/>
    <w:tmpl w:val="FF7F5D88"/>
    <w:lvl w:ilvl="0" w:tentative="0">
      <w:start w:val="4"/>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FF9AE96E"/>
    <w:multiLevelType w:val="multilevel"/>
    <w:tmpl w:val="FF9AE96E"/>
    <w:lvl w:ilvl="0" w:tentative="0">
      <w:start w:val="4"/>
      <w:numFmt w:val="decimal"/>
      <w:lvlText w:val="%1."/>
      <w:lvlJc w:val="left"/>
      <w:pPr>
        <w:ind w:left="425" w:hanging="425"/>
      </w:pPr>
      <w:rPr>
        <w:rFonts w:hint="default"/>
      </w:rPr>
    </w:lvl>
    <w:lvl w:ilvl="1" w:tentative="0">
      <w:start w:val="6"/>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164C1CFF"/>
    <w:multiLevelType w:val="multilevel"/>
    <w:tmpl w:val="164C1CFF"/>
    <w:lvl w:ilvl="0" w:tentative="0">
      <w:start w:val="1"/>
      <w:numFmt w:val="decimal"/>
      <w:lvlText w:val="2.%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C3F5A80"/>
    <w:multiLevelType w:val="multilevel"/>
    <w:tmpl w:val="1C3F5A80"/>
    <w:lvl w:ilvl="0" w:tentative="0">
      <w:start w:val="1"/>
      <w:numFmt w:val="decimal"/>
      <w:lvlText w:val="4.4.%1"/>
      <w:lvlJc w:val="left"/>
      <w:pPr>
        <w:ind w:left="420" w:hanging="420"/>
      </w:pPr>
      <w:rPr>
        <w:rFonts w:hint="eastAsia"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76A4C48"/>
    <w:multiLevelType w:val="multilevel"/>
    <w:tmpl w:val="276A4C48"/>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9D31C39"/>
    <w:multiLevelType w:val="multilevel"/>
    <w:tmpl w:val="39D31C39"/>
    <w:lvl w:ilvl="0" w:tentative="0">
      <w:start w:val="1"/>
      <w:numFmt w:val="decimal"/>
      <w:lvlText w:val="1.%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D511682"/>
    <w:multiLevelType w:val="multilevel"/>
    <w:tmpl w:val="3D511682"/>
    <w:lvl w:ilvl="0" w:tentative="0">
      <w:start w:val="1"/>
      <w:numFmt w:val="decimal"/>
      <w:lvlText w:val="%1 "/>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CF04C4E"/>
    <w:multiLevelType w:val="multilevel"/>
    <w:tmpl w:val="4CF04C4E"/>
    <w:lvl w:ilvl="0" w:tentative="0">
      <w:start w:val="1"/>
      <w:numFmt w:val="decimalEnclosedCircle"/>
      <w:pStyle w:val="46"/>
      <w:lvlText w:val="%1"/>
      <w:lvlJc w:val="left"/>
      <w:pPr>
        <w:tabs>
          <w:tab w:val="left" w:pos="2160"/>
        </w:tabs>
        <w:ind w:left="216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
    <w:nsid w:val="4E0D1E73"/>
    <w:multiLevelType w:val="multilevel"/>
    <w:tmpl w:val="4E0D1E73"/>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3.2.%3"/>
      <w:lvlJc w:val="left"/>
      <w:pPr>
        <w:ind w:left="0" w:firstLine="0"/>
      </w:pPr>
      <w:rPr>
        <w:rFonts w:hint="default"/>
        <w:sz w:val="21"/>
        <w:szCs w:val="21"/>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5">
    <w:nsid w:val="558B0CCD"/>
    <w:multiLevelType w:val="multilevel"/>
    <w:tmpl w:val="558B0CCD"/>
    <w:lvl w:ilvl="0" w:tentative="0">
      <w:start w:val="1"/>
      <w:numFmt w:val="decimal"/>
      <w:lvlText w:val="4.%1"/>
      <w:lvlJc w:val="left"/>
      <w:pPr>
        <w:ind w:left="420" w:hanging="420"/>
      </w:pPr>
      <w:rPr>
        <w:rFonts w:hint="eastAsia" w:ascii="宋体" w:hAnsi="宋体" w:eastAsia="宋体"/>
        <w:b/>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583E0FA1"/>
    <w:multiLevelType w:val="singleLevel"/>
    <w:tmpl w:val="583E0FA1"/>
    <w:lvl w:ilvl="0" w:tentative="0">
      <w:start w:val="1"/>
      <w:numFmt w:val="decimal"/>
      <w:lvlText w:val="(%1)"/>
      <w:lvlJc w:val="left"/>
      <w:pPr>
        <w:ind w:left="425" w:hanging="425"/>
      </w:pPr>
      <w:rPr>
        <w:rFonts w:hint="default"/>
        <w:sz w:val="21"/>
        <w:szCs w:val="21"/>
      </w:rPr>
    </w:lvl>
  </w:abstractNum>
  <w:abstractNum w:abstractNumId="17">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8"/>
      <w:suff w:val="nothing"/>
      <w:lvlText w:val="%1%2　"/>
      <w:lvlJc w:val="left"/>
      <w:pPr>
        <w:ind w:left="0" w:firstLine="0"/>
      </w:pPr>
      <w:rPr>
        <w:rFonts w:hint="eastAsia" w:ascii="黑体" w:hAnsi="Times New Roman" w:eastAsia="黑体"/>
        <w:b/>
        <w:i w:val="0"/>
        <w:sz w:val="24"/>
        <w:szCs w:val="24"/>
      </w:rPr>
    </w:lvl>
    <w:lvl w:ilvl="2" w:tentative="0">
      <w:start w:val="1"/>
      <w:numFmt w:val="decimal"/>
      <w:pStyle w:val="39"/>
      <w:suff w:val="nothing"/>
      <w:lvlText w:val="%1%2.%3　"/>
      <w:lvlJc w:val="left"/>
      <w:pPr>
        <w:ind w:left="0" w:firstLine="0"/>
      </w:pPr>
      <w:rPr>
        <w:rFonts w:hint="eastAsia" w:ascii="黑体" w:hAnsi="Times New Roman" w:eastAsia="黑体"/>
        <w:b w:val="0"/>
        <w:i w:val="0"/>
        <w:sz w:val="24"/>
        <w:szCs w:val="24"/>
      </w:rPr>
    </w:lvl>
    <w:lvl w:ilvl="3" w:tentative="0">
      <w:start w:val="1"/>
      <w:numFmt w:val="decimal"/>
      <w:pStyle w:val="41"/>
      <w:suff w:val="nothing"/>
      <w:lvlText w:val="%1%2.%3.%4　"/>
      <w:lvlJc w:val="left"/>
      <w:pPr>
        <w:ind w:left="0" w:firstLine="0"/>
      </w:pPr>
      <w:rPr>
        <w:rFonts w:hint="eastAsia" w:ascii="黑体" w:hAnsi="Times New Roman" w:eastAsia="黑体"/>
        <w:b w:val="0"/>
        <w:i w:val="0"/>
        <w:sz w:val="21"/>
      </w:rPr>
    </w:lvl>
    <w:lvl w:ilvl="4" w:tentative="0">
      <w:start w:val="1"/>
      <w:numFmt w:val="decimal"/>
      <w:pStyle w:val="42"/>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8">
    <w:nsid w:val="76933334"/>
    <w:multiLevelType w:val="multilevel"/>
    <w:tmpl w:val="76933334"/>
    <w:lvl w:ilvl="0" w:tentative="0">
      <w:start w:val="1"/>
      <w:numFmt w:val="none"/>
      <w:pStyle w:val="54"/>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7DFA422C"/>
    <w:multiLevelType w:val="multilevel"/>
    <w:tmpl w:val="7DFA422C"/>
    <w:lvl w:ilvl="0" w:tentative="0">
      <w:start w:val="7"/>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0">
    <w:nsid w:val="7DFEF9D6"/>
    <w:multiLevelType w:val="multilevel"/>
    <w:tmpl w:val="7DFEF9D6"/>
    <w:lvl w:ilvl="0" w:tentative="0">
      <w:start w:val="5"/>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7"/>
  </w:num>
  <w:num w:numId="2">
    <w:abstractNumId w:val="13"/>
  </w:num>
  <w:num w:numId="3">
    <w:abstractNumId w:val="18"/>
  </w:num>
  <w:num w:numId="4">
    <w:abstractNumId w:val="1"/>
  </w:num>
  <w:num w:numId="5">
    <w:abstractNumId w:val="12"/>
  </w:num>
  <w:num w:numId="6">
    <w:abstractNumId w:val="11"/>
  </w:num>
  <w:num w:numId="7">
    <w:abstractNumId w:val="8"/>
  </w:num>
  <w:num w:numId="8">
    <w:abstractNumId w:val="2"/>
  </w:num>
  <w:num w:numId="9">
    <w:abstractNumId w:val="10"/>
  </w:num>
  <w:num w:numId="10">
    <w:abstractNumId w:val="14"/>
  </w:num>
  <w:num w:numId="11">
    <w:abstractNumId w:val="0"/>
  </w:num>
  <w:num w:numId="12">
    <w:abstractNumId w:val="16"/>
  </w:num>
  <w:num w:numId="13">
    <w:abstractNumId w:val="15"/>
  </w:num>
  <w:num w:numId="14">
    <w:abstractNumId w:val="6"/>
  </w:num>
  <w:num w:numId="15">
    <w:abstractNumId w:val="5"/>
  </w:num>
  <w:num w:numId="16">
    <w:abstractNumId w:val="9"/>
  </w:num>
  <w:num w:numId="17">
    <w:abstractNumId w:val="7"/>
  </w:num>
  <w:num w:numId="18">
    <w:abstractNumId w:val="4"/>
  </w:num>
  <w:num w:numId="19">
    <w:abstractNumId w:val="20"/>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5D5"/>
    <w:rsid w:val="00002EAE"/>
    <w:rsid w:val="00004316"/>
    <w:rsid w:val="00004C9E"/>
    <w:rsid w:val="00006ED5"/>
    <w:rsid w:val="00007016"/>
    <w:rsid w:val="00007464"/>
    <w:rsid w:val="00010AA3"/>
    <w:rsid w:val="00011014"/>
    <w:rsid w:val="00011B1D"/>
    <w:rsid w:val="00011E16"/>
    <w:rsid w:val="00011EEB"/>
    <w:rsid w:val="00012276"/>
    <w:rsid w:val="000150D2"/>
    <w:rsid w:val="00015E7E"/>
    <w:rsid w:val="00022EFE"/>
    <w:rsid w:val="00024CCF"/>
    <w:rsid w:val="00025149"/>
    <w:rsid w:val="00034061"/>
    <w:rsid w:val="0003637F"/>
    <w:rsid w:val="000373DA"/>
    <w:rsid w:val="00037A5C"/>
    <w:rsid w:val="00037D30"/>
    <w:rsid w:val="00042DF0"/>
    <w:rsid w:val="00044894"/>
    <w:rsid w:val="00044C35"/>
    <w:rsid w:val="00047504"/>
    <w:rsid w:val="000502D3"/>
    <w:rsid w:val="0005070B"/>
    <w:rsid w:val="0005104F"/>
    <w:rsid w:val="00055108"/>
    <w:rsid w:val="000555C2"/>
    <w:rsid w:val="00056DE8"/>
    <w:rsid w:val="000624DA"/>
    <w:rsid w:val="0006371A"/>
    <w:rsid w:val="00065175"/>
    <w:rsid w:val="00065EB6"/>
    <w:rsid w:val="00070A22"/>
    <w:rsid w:val="00071392"/>
    <w:rsid w:val="00071A46"/>
    <w:rsid w:val="00073D59"/>
    <w:rsid w:val="00076F11"/>
    <w:rsid w:val="00077318"/>
    <w:rsid w:val="00080AC8"/>
    <w:rsid w:val="0008138E"/>
    <w:rsid w:val="0008217C"/>
    <w:rsid w:val="0008237F"/>
    <w:rsid w:val="0008665D"/>
    <w:rsid w:val="0009318F"/>
    <w:rsid w:val="00094DC1"/>
    <w:rsid w:val="00096F23"/>
    <w:rsid w:val="00096F67"/>
    <w:rsid w:val="000A1E6E"/>
    <w:rsid w:val="000A5315"/>
    <w:rsid w:val="000A5C1B"/>
    <w:rsid w:val="000A7760"/>
    <w:rsid w:val="000A7A5B"/>
    <w:rsid w:val="000B1328"/>
    <w:rsid w:val="000B2E02"/>
    <w:rsid w:val="000B5E00"/>
    <w:rsid w:val="000D3AAB"/>
    <w:rsid w:val="000D3AE5"/>
    <w:rsid w:val="000D4936"/>
    <w:rsid w:val="000D6D8D"/>
    <w:rsid w:val="000D73CC"/>
    <w:rsid w:val="000E0522"/>
    <w:rsid w:val="000E2EDC"/>
    <w:rsid w:val="000E3BBD"/>
    <w:rsid w:val="000E52EF"/>
    <w:rsid w:val="000E5D4C"/>
    <w:rsid w:val="000E761F"/>
    <w:rsid w:val="000F0E4A"/>
    <w:rsid w:val="000F13A8"/>
    <w:rsid w:val="000F2919"/>
    <w:rsid w:val="000F4C5C"/>
    <w:rsid w:val="000F5A82"/>
    <w:rsid w:val="000F5AC9"/>
    <w:rsid w:val="000F6D90"/>
    <w:rsid w:val="001002EB"/>
    <w:rsid w:val="0010533C"/>
    <w:rsid w:val="00105946"/>
    <w:rsid w:val="00105F5B"/>
    <w:rsid w:val="001142A7"/>
    <w:rsid w:val="0011698C"/>
    <w:rsid w:val="00123EA5"/>
    <w:rsid w:val="00127CC2"/>
    <w:rsid w:val="00130AB5"/>
    <w:rsid w:val="00134070"/>
    <w:rsid w:val="00135960"/>
    <w:rsid w:val="0013689B"/>
    <w:rsid w:val="00140F51"/>
    <w:rsid w:val="00141367"/>
    <w:rsid w:val="001419E5"/>
    <w:rsid w:val="00141E76"/>
    <w:rsid w:val="00143A05"/>
    <w:rsid w:val="00145434"/>
    <w:rsid w:val="00146655"/>
    <w:rsid w:val="0015078E"/>
    <w:rsid w:val="00154460"/>
    <w:rsid w:val="0015498D"/>
    <w:rsid w:val="00156A86"/>
    <w:rsid w:val="001615B4"/>
    <w:rsid w:val="00162558"/>
    <w:rsid w:val="00163340"/>
    <w:rsid w:val="001658B8"/>
    <w:rsid w:val="00167177"/>
    <w:rsid w:val="00173916"/>
    <w:rsid w:val="00174717"/>
    <w:rsid w:val="0017511D"/>
    <w:rsid w:val="00176D10"/>
    <w:rsid w:val="00182BF9"/>
    <w:rsid w:val="001845B5"/>
    <w:rsid w:val="00191F09"/>
    <w:rsid w:val="001926D6"/>
    <w:rsid w:val="0019324D"/>
    <w:rsid w:val="001944BA"/>
    <w:rsid w:val="00194544"/>
    <w:rsid w:val="00194CE4"/>
    <w:rsid w:val="001A0252"/>
    <w:rsid w:val="001A04B2"/>
    <w:rsid w:val="001A1302"/>
    <w:rsid w:val="001A1A0B"/>
    <w:rsid w:val="001A20E3"/>
    <w:rsid w:val="001A2797"/>
    <w:rsid w:val="001A3912"/>
    <w:rsid w:val="001A3A32"/>
    <w:rsid w:val="001A4667"/>
    <w:rsid w:val="001A4A07"/>
    <w:rsid w:val="001A4BBA"/>
    <w:rsid w:val="001B0745"/>
    <w:rsid w:val="001B082B"/>
    <w:rsid w:val="001B3551"/>
    <w:rsid w:val="001B4C0E"/>
    <w:rsid w:val="001B79F8"/>
    <w:rsid w:val="001C4E05"/>
    <w:rsid w:val="001C5F09"/>
    <w:rsid w:val="001C6333"/>
    <w:rsid w:val="001D0744"/>
    <w:rsid w:val="001D2177"/>
    <w:rsid w:val="001D5909"/>
    <w:rsid w:val="001D5FA4"/>
    <w:rsid w:val="001E125F"/>
    <w:rsid w:val="001E25C5"/>
    <w:rsid w:val="001E294F"/>
    <w:rsid w:val="001E35AD"/>
    <w:rsid w:val="001E4F47"/>
    <w:rsid w:val="001E6318"/>
    <w:rsid w:val="001F2FBD"/>
    <w:rsid w:val="001F3A6D"/>
    <w:rsid w:val="001F3F5E"/>
    <w:rsid w:val="001F46DC"/>
    <w:rsid w:val="001F4A67"/>
    <w:rsid w:val="00202A01"/>
    <w:rsid w:val="00212A91"/>
    <w:rsid w:val="00222A39"/>
    <w:rsid w:val="00223088"/>
    <w:rsid w:val="00225409"/>
    <w:rsid w:val="002263E6"/>
    <w:rsid w:val="00226916"/>
    <w:rsid w:val="00227BC4"/>
    <w:rsid w:val="0023197B"/>
    <w:rsid w:val="002333F8"/>
    <w:rsid w:val="00235412"/>
    <w:rsid w:val="002354A5"/>
    <w:rsid w:val="00236859"/>
    <w:rsid w:val="00242603"/>
    <w:rsid w:val="0024341C"/>
    <w:rsid w:val="00246303"/>
    <w:rsid w:val="00246B4B"/>
    <w:rsid w:val="00250093"/>
    <w:rsid w:val="00251E02"/>
    <w:rsid w:val="00253725"/>
    <w:rsid w:val="002541FB"/>
    <w:rsid w:val="00256785"/>
    <w:rsid w:val="0026255A"/>
    <w:rsid w:val="00262E91"/>
    <w:rsid w:val="00263C42"/>
    <w:rsid w:val="00263EF0"/>
    <w:rsid w:val="00264E56"/>
    <w:rsid w:val="00270B72"/>
    <w:rsid w:val="00270FE2"/>
    <w:rsid w:val="002726C7"/>
    <w:rsid w:val="00275A9E"/>
    <w:rsid w:val="00276056"/>
    <w:rsid w:val="00281A14"/>
    <w:rsid w:val="00282203"/>
    <w:rsid w:val="0028340C"/>
    <w:rsid w:val="002842C8"/>
    <w:rsid w:val="00294546"/>
    <w:rsid w:val="002A1287"/>
    <w:rsid w:val="002A31FF"/>
    <w:rsid w:val="002A3FA0"/>
    <w:rsid w:val="002A6328"/>
    <w:rsid w:val="002B0760"/>
    <w:rsid w:val="002B10A8"/>
    <w:rsid w:val="002B6D9A"/>
    <w:rsid w:val="002C20BC"/>
    <w:rsid w:val="002C6626"/>
    <w:rsid w:val="002D01B5"/>
    <w:rsid w:val="002D21B0"/>
    <w:rsid w:val="002D240F"/>
    <w:rsid w:val="002D608E"/>
    <w:rsid w:val="002D6989"/>
    <w:rsid w:val="002D6BB3"/>
    <w:rsid w:val="002E2AC4"/>
    <w:rsid w:val="002E3106"/>
    <w:rsid w:val="002E3118"/>
    <w:rsid w:val="002E3D4E"/>
    <w:rsid w:val="002E41F5"/>
    <w:rsid w:val="002F3997"/>
    <w:rsid w:val="002F6573"/>
    <w:rsid w:val="003001AE"/>
    <w:rsid w:val="003008E7"/>
    <w:rsid w:val="00300B65"/>
    <w:rsid w:val="00302CAB"/>
    <w:rsid w:val="00303779"/>
    <w:rsid w:val="003040AC"/>
    <w:rsid w:val="00305AD3"/>
    <w:rsid w:val="003077F7"/>
    <w:rsid w:val="0031147B"/>
    <w:rsid w:val="00313DA5"/>
    <w:rsid w:val="00315CB0"/>
    <w:rsid w:val="00317C27"/>
    <w:rsid w:val="00320FE6"/>
    <w:rsid w:val="003226EB"/>
    <w:rsid w:val="003247E3"/>
    <w:rsid w:val="00334123"/>
    <w:rsid w:val="0033430D"/>
    <w:rsid w:val="0033464B"/>
    <w:rsid w:val="003402E1"/>
    <w:rsid w:val="003428FD"/>
    <w:rsid w:val="00344A2A"/>
    <w:rsid w:val="00347252"/>
    <w:rsid w:val="003478CB"/>
    <w:rsid w:val="003501D8"/>
    <w:rsid w:val="003526C4"/>
    <w:rsid w:val="00353240"/>
    <w:rsid w:val="00354366"/>
    <w:rsid w:val="00356124"/>
    <w:rsid w:val="00361B8D"/>
    <w:rsid w:val="003642F4"/>
    <w:rsid w:val="003677EE"/>
    <w:rsid w:val="003701D3"/>
    <w:rsid w:val="00371C18"/>
    <w:rsid w:val="0037438A"/>
    <w:rsid w:val="0037573A"/>
    <w:rsid w:val="003802BF"/>
    <w:rsid w:val="00380A9D"/>
    <w:rsid w:val="003812BE"/>
    <w:rsid w:val="003822A5"/>
    <w:rsid w:val="003843EC"/>
    <w:rsid w:val="00386CE0"/>
    <w:rsid w:val="00394ACE"/>
    <w:rsid w:val="00396F45"/>
    <w:rsid w:val="0039774B"/>
    <w:rsid w:val="00397E62"/>
    <w:rsid w:val="003A3F7F"/>
    <w:rsid w:val="003A5651"/>
    <w:rsid w:val="003B1C06"/>
    <w:rsid w:val="003B1DE1"/>
    <w:rsid w:val="003B57D7"/>
    <w:rsid w:val="003B5E3C"/>
    <w:rsid w:val="003B6A1C"/>
    <w:rsid w:val="003B725C"/>
    <w:rsid w:val="003B756A"/>
    <w:rsid w:val="003B7AB0"/>
    <w:rsid w:val="003B7D89"/>
    <w:rsid w:val="003C4079"/>
    <w:rsid w:val="003C483A"/>
    <w:rsid w:val="003C4E40"/>
    <w:rsid w:val="003C5099"/>
    <w:rsid w:val="003C5132"/>
    <w:rsid w:val="003C74FA"/>
    <w:rsid w:val="003D0D81"/>
    <w:rsid w:val="003D19CA"/>
    <w:rsid w:val="003D2B75"/>
    <w:rsid w:val="003D417C"/>
    <w:rsid w:val="003D43CA"/>
    <w:rsid w:val="003D442B"/>
    <w:rsid w:val="003E16E7"/>
    <w:rsid w:val="003E307F"/>
    <w:rsid w:val="003E3E5B"/>
    <w:rsid w:val="003E41F8"/>
    <w:rsid w:val="003F0C17"/>
    <w:rsid w:val="003F0E81"/>
    <w:rsid w:val="003F262B"/>
    <w:rsid w:val="003F3040"/>
    <w:rsid w:val="003F4F69"/>
    <w:rsid w:val="003F5DD1"/>
    <w:rsid w:val="003F7123"/>
    <w:rsid w:val="003F7752"/>
    <w:rsid w:val="00402CE8"/>
    <w:rsid w:val="004052D3"/>
    <w:rsid w:val="0040605F"/>
    <w:rsid w:val="004074D1"/>
    <w:rsid w:val="004110C1"/>
    <w:rsid w:val="00411429"/>
    <w:rsid w:val="00421943"/>
    <w:rsid w:val="0042223E"/>
    <w:rsid w:val="004234AE"/>
    <w:rsid w:val="004270A9"/>
    <w:rsid w:val="004279E1"/>
    <w:rsid w:val="00427F2A"/>
    <w:rsid w:val="004304BC"/>
    <w:rsid w:val="00432B4C"/>
    <w:rsid w:val="00434CD5"/>
    <w:rsid w:val="0043551F"/>
    <w:rsid w:val="00440D75"/>
    <w:rsid w:val="00440F7D"/>
    <w:rsid w:val="00441755"/>
    <w:rsid w:val="00445133"/>
    <w:rsid w:val="0044577E"/>
    <w:rsid w:val="00445CC2"/>
    <w:rsid w:val="00451992"/>
    <w:rsid w:val="00456A3F"/>
    <w:rsid w:val="00456FB5"/>
    <w:rsid w:val="00463A0E"/>
    <w:rsid w:val="00465DD2"/>
    <w:rsid w:val="0046781A"/>
    <w:rsid w:val="00472EE5"/>
    <w:rsid w:val="00472EF0"/>
    <w:rsid w:val="00473900"/>
    <w:rsid w:val="004741DE"/>
    <w:rsid w:val="00476581"/>
    <w:rsid w:val="00481EFB"/>
    <w:rsid w:val="00483622"/>
    <w:rsid w:val="0048647D"/>
    <w:rsid w:val="00487BE3"/>
    <w:rsid w:val="00487EE3"/>
    <w:rsid w:val="004908E9"/>
    <w:rsid w:val="00490AB3"/>
    <w:rsid w:val="00491C10"/>
    <w:rsid w:val="00493D60"/>
    <w:rsid w:val="00495FC0"/>
    <w:rsid w:val="004A0E8F"/>
    <w:rsid w:val="004A11DD"/>
    <w:rsid w:val="004A1E88"/>
    <w:rsid w:val="004A23A9"/>
    <w:rsid w:val="004A3781"/>
    <w:rsid w:val="004A40F2"/>
    <w:rsid w:val="004B4BFD"/>
    <w:rsid w:val="004B5980"/>
    <w:rsid w:val="004B5AE1"/>
    <w:rsid w:val="004B67F2"/>
    <w:rsid w:val="004B6B44"/>
    <w:rsid w:val="004C56F3"/>
    <w:rsid w:val="004C588A"/>
    <w:rsid w:val="004C68E8"/>
    <w:rsid w:val="004C74EA"/>
    <w:rsid w:val="004C77B3"/>
    <w:rsid w:val="004D3D45"/>
    <w:rsid w:val="004D4A4C"/>
    <w:rsid w:val="004D689A"/>
    <w:rsid w:val="004D7890"/>
    <w:rsid w:val="004E084E"/>
    <w:rsid w:val="004E3793"/>
    <w:rsid w:val="004E37A1"/>
    <w:rsid w:val="004F0366"/>
    <w:rsid w:val="004F08A8"/>
    <w:rsid w:val="004F4B39"/>
    <w:rsid w:val="004F4D2A"/>
    <w:rsid w:val="004F5684"/>
    <w:rsid w:val="004F6D96"/>
    <w:rsid w:val="00500802"/>
    <w:rsid w:val="00501329"/>
    <w:rsid w:val="00504489"/>
    <w:rsid w:val="005045D0"/>
    <w:rsid w:val="005063DF"/>
    <w:rsid w:val="005064D2"/>
    <w:rsid w:val="005069C2"/>
    <w:rsid w:val="00506ECE"/>
    <w:rsid w:val="00511270"/>
    <w:rsid w:val="005119DD"/>
    <w:rsid w:val="005128ED"/>
    <w:rsid w:val="005154DA"/>
    <w:rsid w:val="00516C4F"/>
    <w:rsid w:val="0052389E"/>
    <w:rsid w:val="00525A2D"/>
    <w:rsid w:val="00531F85"/>
    <w:rsid w:val="0053476C"/>
    <w:rsid w:val="005363D6"/>
    <w:rsid w:val="0054067C"/>
    <w:rsid w:val="00541071"/>
    <w:rsid w:val="00541AEC"/>
    <w:rsid w:val="00542336"/>
    <w:rsid w:val="005478B1"/>
    <w:rsid w:val="00550886"/>
    <w:rsid w:val="005527FD"/>
    <w:rsid w:val="00560CCF"/>
    <w:rsid w:val="00563564"/>
    <w:rsid w:val="005637CD"/>
    <w:rsid w:val="005706E0"/>
    <w:rsid w:val="0057089F"/>
    <w:rsid w:val="00570BA1"/>
    <w:rsid w:val="005739AD"/>
    <w:rsid w:val="00580643"/>
    <w:rsid w:val="00580B54"/>
    <w:rsid w:val="00581721"/>
    <w:rsid w:val="00581DA2"/>
    <w:rsid w:val="00582C32"/>
    <w:rsid w:val="00585DE2"/>
    <w:rsid w:val="00590EFD"/>
    <w:rsid w:val="00592AFF"/>
    <w:rsid w:val="005940D7"/>
    <w:rsid w:val="00595566"/>
    <w:rsid w:val="00595C34"/>
    <w:rsid w:val="00597091"/>
    <w:rsid w:val="00597B03"/>
    <w:rsid w:val="005A0313"/>
    <w:rsid w:val="005A0E45"/>
    <w:rsid w:val="005A60BA"/>
    <w:rsid w:val="005B106F"/>
    <w:rsid w:val="005B4401"/>
    <w:rsid w:val="005B499E"/>
    <w:rsid w:val="005B7600"/>
    <w:rsid w:val="005C1755"/>
    <w:rsid w:val="005C4337"/>
    <w:rsid w:val="005C5592"/>
    <w:rsid w:val="005C60C3"/>
    <w:rsid w:val="005C69BA"/>
    <w:rsid w:val="005D19DE"/>
    <w:rsid w:val="005D1C0B"/>
    <w:rsid w:val="005D3A18"/>
    <w:rsid w:val="005D421F"/>
    <w:rsid w:val="005D5910"/>
    <w:rsid w:val="005E13FF"/>
    <w:rsid w:val="005E4D5B"/>
    <w:rsid w:val="005F0728"/>
    <w:rsid w:val="005F21B0"/>
    <w:rsid w:val="005F3788"/>
    <w:rsid w:val="005F5E09"/>
    <w:rsid w:val="005F5FCF"/>
    <w:rsid w:val="005F79A6"/>
    <w:rsid w:val="0060356E"/>
    <w:rsid w:val="00603DD1"/>
    <w:rsid w:val="00604A11"/>
    <w:rsid w:val="006066E7"/>
    <w:rsid w:val="00607637"/>
    <w:rsid w:val="006128CF"/>
    <w:rsid w:val="00614A6D"/>
    <w:rsid w:val="00614AD2"/>
    <w:rsid w:val="00615180"/>
    <w:rsid w:val="00616234"/>
    <w:rsid w:val="00623653"/>
    <w:rsid w:val="006251DE"/>
    <w:rsid w:val="0063467E"/>
    <w:rsid w:val="00640357"/>
    <w:rsid w:val="00641EB3"/>
    <w:rsid w:val="00644002"/>
    <w:rsid w:val="006445DE"/>
    <w:rsid w:val="00646D40"/>
    <w:rsid w:val="00650D77"/>
    <w:rsid w:val="006515FC"/>
    <w:rsid w:val="00651A67"/>
    <w:rsid w:val="00654CB1"/>
    <w:rsid w:val="00656D49"/>
    <w:rsid w:val="00657259"/>
    <w:rsid w:val="00657C77"/>
    <w:rsid w:val="00662206"/>
    <w:rsid w:val="00663261"/>
    <w:rsid w:val="00663BBD"/>
    <w:rsid w:val="00663C06"/>
    <w:rsid w:val="00663C4A"/>
    <w:rsid w:val="0067082F"/>
    <w:rsid w:val="00670E13"/>
    <w:rsid w:val="00672C6B"/>
    <w:rsid w:val="00672C84"/>
    <w:rsid w:val="00674DFA"/>
    <w:rsid w:val="0067522F"/>
    <w:rsid w:val="00677CE4"/>
    <w:rsid w:val="00680407"/>
    <w:rsid w:val="00680DFB"/>
    <w:rsid w:val="00681565"/>
    <w:rsid w:val="00681DD4"/>
    <w:rsid w:val="00681FB1"/>
    <w:rsid w:val="006833A9"/>
    <w:rsid w:val="006867D3"/>
    <w:rsid w:val="006873B4"/>
    <w:rsid w:val="006874B6"/>
    <w:rsid w:val="00687C30"/>
    <w:rsid w:val="00687F98"/>
    <w:rsid w:val="00692777"/>
    <w:rsid w:val="00694762"/>
    <w:rsid w:val="006948ED"/>
    <w:rsid w:val="00694931"/>
    <w:rsid w:val="00695688"/>
    <w:rsid w:val="00695FFF"/>
    <w:rsid w:val="00696C0A"/>
    <w:rsid w:val="0069737D"/>
    <w:rsid w:val="006A0164"/>
    <w:rsid w:val="006A2A58"/>
    <w:rsid w:val="006A548B"/>
    <w:rsid w:val="006A5B0C"/>
    <w:rsid w:val="006B1CCA"/>
    <w:rsid w:val="006B33F6"/>
    <w:rsid w:val="006B4A9D"/>
    <w:rsid w:val="006B6475"/>
    <w:rsid w:val="006C5F6B"/>
    <w:rsid w:val="006C7931"/>
    <w:rsid w:val="006D1CF5"/>
    <w:rsid w:val="006D1F58"/>
    <w:rsid w:val="006E0419"/>
    <w:rsid w:val="006E1528"/>
    <w:rsid w:val="006E168B"/>
    <w:rsid w:val="006E1C34"/>
    <w:rsid w:val="006E1F00"/>
    <w:rsid w:val="006E42B5"/>
    <w:rsid w:val="006E5779"/>
    <w:rsid w:val="006E6971"/>
    <w:rsid w:val="006F3127"/>
    <w:rsid w:val="006F4D72"/>
    <w:rsid w:val="006F53BF"/>
    <w:rsid w:val="006F72C8"/>
    <w:rsid w:val="007006BA"/>
    <w:rsid w:val="00701063"/>
    <w:rsid w:val="007075BE"/>
    <w:rsid w:val="00714FD4"/>
    <w:rsid w:val="007170FA"/>
    <w:rsid w:val="0071741C"/>
    <w:rsid w:val="00726861"/>
    <w:rsid w:val="00732C2A"/>
    <w:rsid w:val="00732DDF"/>
    <w:rsid w:val="00732EC6"/>
    <w:rsid w:val="00733817"/>
    <w:rsid w:val="00733BDB"/>
    <w:rsid w:val="00734B22"/>
    <w:rsid w:val="00735051"/>
    <w:rsid w:val="0073656C"/>
    <w:rsid w:val="00736583"/>
    <w:rsid w:val="007444D5"/>
    <w:rsid w:val="00750079"/>
    <w:rsid w:val="00751CB9"/>
    <w:rsid w:val="00751FFC"/>
    <w:rsid w:val="00752C7F"/>
    <w:rsid w:val="00755DA9"/>
    <w:rsid w:val="0075715F"/>
    <w:rsid w:val="00757A0B"/>
    <w:rsid w:val="00760755"/>
    <w:rsid w:val="00760DC1"/>
    <w:rsid w:val="0076133F"/>
    <w:rsid w:val="00762EF3"/>
    <w:rsid w:val="00763F83"/>
    <w:rsid w:val="00767D2B"/>
    <w:rsid w:val="00770173"/>
    <w:rsid w:val="00770507"/>
    <w:rsid w:val="00770E52"/>
    <w:rsid w:val="00777410"/>
    <w:rsid w:val="0078003C"/>
    <w:rsid w:val="00782369"/>
    <w:rsid w:val="007832AE"/>
    <w:rsid w:val="007838F7"/>
    <w:rsid w:val="00784FA9"/>
    <w:rsid w:val="007853BD"/>
    <w:rsid w:val="00785D01"/>
    <w:rsid w:val="0078633A"/>
    <w:rsid w:val="007866D8"/>
    <w:rsid w:val="00786DCE"/>
    <w:rsid w:val="0078732F"/>
    <w:rsid w:val="00792672"/>
    <w:rsid w:val="00792BDE"/>
    <w:rsid w:val="007939CA"/>
    <w:rsid w:val="007A3212"/>
    <w:rsid w:val="007A3336"/>
    <w:rsid w:val="007A3FDF"/>
    <w:rsid w:val="007A4F12"/>
    <w:rsid w:val="007B2724"/>
    <w:rsid w:val="007B3EC2"/>
    <w:rsid w:val="007B508B"/>
    <w:rsid w:val="007B6758"/>
    <w:rsid w:val="007C1783"/>
    <w:rsid w:val="007C1794"/>
    <w:rsid w:val="007C2365"/>
    <w:rsid w:val="007C378F"/>
    <w:rsid w:val="007D0316"/>
    <w:rsid w:val="007D04C8"/>
    <w:rsid w:val="007D2A65"/>
    <w:rsid w:val="007D3D41"/>
    <w:rsid w:val="007D41A1"/>
    <w:rsid w:val="007E41F1"/>
    <w:rsid w:val="007E44D9"/>
    <w:rsid w:val="007E4E00"/>
    <w:rsid w:val="007F1995"/>
    <w:rsid w:val="007F28EE"/>
    <w:rsid w:val="007F2F30"/>
    <w:rsid w:val="007F77CA"/>
    <w:rsid w:val="00801AB5"/>
    <w:rsid w:val="00804E3F"/>
    <w:rsid w:val="0080594E"/>
    <w:rsid w:val="00805E60"/>
    <w:rsid w:val="00807B48"/>
    <w:rsid w:val="00810C1D"/>
    <w:rsid w:val="00813FBC"/>
    <w:rsid w:val="0081489F"/>
    <w:rsid w:val="00815C3A"/>
    <w:rsid w:val="00815EF1"/>
    <w:rsid w:val="00817C7C"/>
    <w:rsid w:val="0082098E"/>
    <w:rsid w:val="00821295"/>
    <w:rsid w:val="00823C69"/>
    <w:rsid w:val="00826E04"/>
    <w:rsid w:val="00827F72"/>
    <w:rsid w:val="00832CA0"/>
    <w:rsid w:val="008347F7"/>
    <w:rsid w:val="00850B54"/>
    <w:rsid w:val="00851B3A"/>
    <w:rsid w:val="0085268C"/>
    <w:rsid w:val="00852D4B"/>
    <w:rsid w:val="008567CA"/>
    <w:rsid w:val="00860091"/>
    <w:rsid w:val="00861923"/>
    <w:rsid w:val="00861D6D"/>
    <w:rsid w:val="008634C6"/>
    <w:rsid w:val="00863DBA"/>
    <w:rsid w:val="0087287D"/>
    <w:rsid w:val="00881B15"/>
    <w:rsid w:val="00883D3B"/>
    <w:rsid w:val="00885F5E"/>
    <w:rsid w:val="0088621E"/>
    <w:rsid w:val="008872C7"/>
    <w:rsid w:val="0089478F"/>
    <w:rsid w:val="00895C05"/>
    <w:rsid w:val="0089629F"/>
    <w:rsid w:val="008A04A5"/>
    <w:rsid w:val="008A2E19"/>
    <w:rsid w:val="008A51D5"/>
    <w:rsid w:val="008A66A5"/>
    <w:rsid w:val="008A7448"/>
    <w:rsid w:val="008A7A8D"/>
    <w:rsid w:val="008B13A6"/>
    <w:rsid w:val="008B1CEC"/>
    <w:rsid w:val="008B261A"/>
    <w:rsid w:val="008B27E0"/>
    <w:rsid w:val="008B4A14"/>
    <w:rsid w:val="008B5AEF"/>
    <w:rsid w:val="008B5F87"/>
    <w:rsid w:val="008C013E"/>
    <w:rsid w:val="008C131A"/>
    <w:rsid w:val="008C1D81"/>
    <w:rsid w:val="008C3CE1"/>
    <w:rsid w:val="008C6087"/>
    <w:rsid w:val="008C7679"/>
    <w:rsid w:val="008D1177"/>
    <w:rsid w:val="008D3EE8"/>
    <w:rsid w:val="008F197D"/>
    <w:rsid w:val="008F4A45"/>
    <w:rsid w:val="009029CE"/>
    <w:rsid w:val="009074C0"/>
    <w:rsid w:val="0090795A"/>
    <w:rsid w:val="00907F37"/>
    <w:rsid w:val="00912D86"/>
    <w:rsid w:val="00916BB4"/>
    <w:rsid w:val="00920EBE"/>
    <w:rsid w:val="0092322B"/>
    <w:rsid w:val="0093179F"/>
    <w:rsid w:val="009326EC"/>
    <w:rsid w:val="00932743"/>
    <w:rsid w:val="00935A2A"/>
    <w:rsid w:val="00935E2A"/>
    <w:rsid w:val="00937AE6"/>
    <w:rsid w:val="00940569"/>
    <w:rsid w:val="009418E0"/>
    <w:rsid w:val="00946668"/>
    <w:rsid w:val="00946E86"/>
    <w:rsid w:val="00947781"/>
    <w:rsid w:val="009505C4"/>
    <w:rsid w:val="00951A2D"/>
    <w:rsid w:val="00951A34"/>
    <w:rsid w:val="00952085"/>
    <w:rsid w:val="009605D7"/>
    <w:rsid w:val="009611D3"/>
    <w:rsid w:val="00961FCD"/>
    <w:rsid w:val="0096633D"/>
    <w:rsid w:val="0097211A"/>
    <w:rsid w:val="00973D6E"/>
    <w:rsid w:val="00977720"/>
    <w:rsid w:val="00980ADC"/>
    <w:rsid w:val="00980BCB"/>
    <w:rsid w:val="009815C4"/>
    <w:rsid w:val="0098498A"/>
    <w:rsid w:val="00985AAC"/>
    <w:rsid w:val="00987DE3"/>
    <w:rsid w:val="00987F02"/>
    <w:rsid w:val="009958B9"/>
    <w:rsid w:val="00997125"/>
    <w:rsid w:val="009A2392"/>
    <w:rsid w:val="009A4A4D"/>
    <w:rsid w:val="009B0BB9"/>
    <w:rsid w:val="009B0BD1"/>
    <w:rsid w:val="009B30C5"/>
    <w:rsid w:val="009B54C3"/>
    <w:rsid w:val="009B7851"/>
    <w:rsid w:val="009C7E1F"/>
    <w:rsid w:val="009D0872"/>
    <w:rsid w:val="009D1D86"/>
    <w:rsid w:val="009D2EB0"/>
    <w:rsid w:val="009E235D"/>
    <w:rsid w:val="009E331F"/>
    <w:rsid w:val="009E426A"/>
    <w:rsid w:val="009E4869"/>
    <w:rsid w:val="009E5716"/>
    <w:rsid w:val="009F2E92"/>
    <w:rsid w:val="009F34E9"/>
    <w:rsid w:val="009F3BC1"/>
    <w:rsid w:val="009F4E5E"/>
    <w:rsid w:val="009F6F03"/>
    <w:rsid w:val="009F78FD"/>
    <w:rsid w:val="00A0008D"/>
    <w:rsid w:val="00A00A6D"/>
    <w:rsid w:val="00A01CD2"/>
    <w:rsid w:val="00A02FF0"/>
    <w:rsid w:val="00A03220"/>
    <w:rsid w:val="00A05D56"/>
    <w:rsid w:val="00A07D1E"/>
    <w:rsid w:val="00A11806"/>
    <w:rsid w:val="00A20B5C"/>
    <w:rsid w:val="00A23709"/>
    <w:rsid w:val="00A237C9"/>
    <w:rsid w:val="00A24340"/>
    <w:rsid w:val="00A274F3"/>
    <w:rsid w:val="00A2763D"/>
    <w:rsid w:val="00A31E43"/>
    <w:rsid w:val="00A33AEB"/>
    <w:rsid w:val="00A368AB"/>
    <w:rsid w:val="00A37101"/>
    <w:rsid w:val="00A457B1"/>
    <w:rsid w:val="00A4612A"/>
    <w:rsid w:val="00A53004"/>
    <w:rsid w:val="00A53DF4"/>
    <w:rsid w:val="00A54434"/>
    <w:rsid w:val="00A55119"/>
    <w:rsid w:val="00A57EA5"/>
    <w:rsid w:val="00A61C62"/>
    <w:rsid w:val="00A62C35"/>
    <w:rsid w:val="00A62F54"/>
    <w:rsid w:val="00A638EC"/>
    <w:rsid w:val="00A65B7C"/>
    <w:rsid w:val="00A70F9B"/>
    <w:rsid w:val="00A71A73"/>
    <w:rsid w:val="00A766E4"/>
    <w:rsid w:val="00A831DE"/>
    <w:rsid w:val="00A872AE"/>
    <w:rsid w:val="00A909C8"/>
    <w:rsid w:val="00A90EC9"/>
    <w:rsid w:val="00A95139"/>
    <w:rsid w:val="00A971C9"/>
    <w:rsid w:val="00AA0144"/>
    <w:rsid w:val="00AA0FBC"/>
    <w:rsid w:val="00AA1545"/>
    <w:rsid w:val="00AA5FDC"/>
    <w:rsid w:val="00AB0773"/>
    <w:rsid w:val="00AB53A3"/>
    <w:rsid w:val="00AC17D9"/>
    <w:rsid w:val="00AC3236"/>
    <w:rsid w:val="00AC522E"/>
    <w:rsid w:val="00AD10BC"/>
    <w:rsid w:val="00AD16BA"/>
    <w:rsid w:val="00AD1FA4"/>
    <w:rsid w:val="00AD340D"/>
    <w:rsid w:val="00AD39C4"/>
    <w:rsid w:val="00AD7D1A"/>
    <w:rsid w:val="00AE0D74"/>
    <w:rsid w:val="00AE0DF4"/>
    <w:rsid w:val="00AE53B0"/>
    <w:rsid w:val="00AE6D52"/>
    <w:rsid w:val="00AE70FB"/>
    <w:rsid w:val="00AF0E66"/>
    <w:rsid w:val="00AF0F50"/>
    <w:rsid w:val="00AF17EA"/>
    <w:rsid w:val="00AF49D0"/>
    <w:rsid w:val="00AF4F07"/>
    <w:rsid w:val="00B000A5"/>
    <w:rsid w:val="00B03B40"/>
    <w:rsid w:val="00B04583"/>
    <w:rsid w:val="00B04D1A"/>
    <w:rsid w:val="00B06ABB"/>
    <w:rsid w:val="00B1261B"/>
    <w:rsid w:val="00B1578D"/>
    <w:rsid w:val="00B175FC"/>
    <w:rsid w:val="00B201B1"/>
    <w:rsid w:val="00B227FB"/>
    <w:rsid w:val="00B233B3"/>
    <w:rsid w:val="00B240CE"/>
    <w:rsid w:val="00B25452"/>
    <w:rsid w:val="00B27891"/>
    <w:rsid w:val="00B3201A"/>
    <w:rsid w:val="00B32B57"/>
    <w:rsid w:val="00B33557"/>
    <w:rsid w:val="00B34326"/>
    <w:rsid w:val="00B34B92"/>
    <w:rsid w:val="00B356FC"/>
    <w:rsid w:val="00B35971"/>
    <w:rsid w:val="00B378B1"/>
    <w:rsid w:val="00B40A35"/>
    <w:rsid w:val="00B4399C"/>
    <w:rsid w:val="00B44D5D"/>
    <w:rsid w:val="00B45D6B"/>
    <w:rsid w:val="00B46EAD"/>
    <w:rsid w:val="00B4710B"/>
    <w:rsid w:val="00B47444"/>
    <w:rsid w:val="00B51F77"/>
    <w:rsid w:val="00B52E57"/>
    <w:rsid w:val="00B53B69"/>
    <w:rsid w:val="00B559D4"/>
    <w:rsid w:val="00B670F3"/>
    <w:rsid w:val="00B72B13"/>
    <w:rsid w:val="00B744CA"/>
    <w:rsid w:val="00B76654"/>
    <w:rsid w:val="00B80090"/>
    <w:rsid w:val="00B81A4C"/>
    <w:rsid w:val="00B82B87"/>
    <w:rsid w:val="00B82DF2"/>
    <w:rsid w:val="00B8507A"/>
    <w:rsid w:val="00B905FE"/>
    <w:rsid w:val="00B92184"/>
    <w:rsid w:val="00B94063"/>
    <w:rsid w:val="00B97F10"/>
    <w:rsid w:val="00BA35BC"/>
    <w:rsid w:val="00BA5576"/>
    <w:rsid w:val="00BB0C6D"/>
    <w:rsid w:val="00BB14A6"/>
    <w:rsid w:val="00BB1B60"/>
    <w:rsid w:val="00BB2C4A"/>
    <w:rsid w:val="00BB7227"/>
    <w:rsid w:val="00BB7370"/>
    <w:rsid w:val="00BC3654"/>
    <w:rsid w:val="00BC5A4B"/>
    <w:rsid w:val="00BC650D"/>
    <w:rsid w:val="00BD0F2D"/>
    <w:rsid w:val="00BD4E4E"/>
    <w:rsid w:val="00BD5E4D"/>
    <w:rsid w:val="00BE0D9F"/>
    <w:rsid w:val="00BE451B"/>
    <w:rsid w:val="00BE4B60"/>
    <w:rsid w:val="00BE7DF5"/>
    <w:rsid w:val="00BF004B"/>
    <w:rsid w:val="00C0152A"/>
    <w:rsid w:val="00C02884"/>
    <w:rsid w:val="00C02E8F"/>
    <w:rsid w:val="00C062A4"/>
    <w:rsid w:val="00C0728A"/>
    <w:rsid w:val="00C07516"/>
    <w:rsid w:val="00C10B83"/>
    <w:rsid w:val="00C11A34"/>
    <w:rsid w:val="00C15252"/>
    <w:rsid w:val="00C15573"/>
    <w:rsid w:val="00C21C07"/>
    <w:rsid w:val="00C22F0E"/>
    <w:rsid w:val="00C2395D"/>
    <w:rsid w:val="00C242BF"/>
    <w:rsid w:val="00C311D3"/>
    <w:rsid w:val="00C317BC"/>
    <w:rsid w:val="00C34667"/>
    <w:rsid w:val="00C40151"/>
    <w:rsid w:val="00C4050D"/>
    <w:rsid w:val="00C43390"/>
    <w:rsid w:val="00C443A2"/>
    <w:rsid w:val="00C4766A"/>
    <w:rsid w:val="00C50778"/>
    <w:rsid w:val="00C50DB6"/>
    <w:rsid w:val="00C5407F"/>
    <w:rsid w:val="00C54D40"/>
    <w:rsid w:val="00C56974"/>
    <w:rsid w:val="00C6063E"/>
    <w:rsid w:val="00C61701"/>
    <w:rsid w:val="00C62C97"/>
    <w:rsid w:val="00C66C30"/>
    <w:rsid w:val="00C70609"/>
    <w:rsid w:val="00C72ACE"/>
    <w:rsid w:val="00C733C9"/>
    <w:rsid w:val="00C74380"/>
    <w:rsid w:val="00C7564B"/>
    <w:rsid w:val="00C7668E"/>
    <w:rsid w:val="00C768E8"/>
    <w:rsid w:val="00C81000"/>
    <w:rsid w:val="00C82845"/>
    <w:rsid w:val="00C828B1"/>
    <w:rsid w:val="00C83709"/>
    <w:rsid w:val="00C85212"/>
    <w:rsid w:val="00C86F11"/>
    <w:rsid w:val="00C9179C"/>
    <w:rsid w:val="00C94D9B"/>
    <w:rsid w:val="00C95981"/>
    <w:rsid w:val="00C9689A"/>
    <w:rsid w:val="00CA1498"/>
    <w:rsid w:val="00CA2405"/>
    <w:rsid w:val="00CA5F80"/>
    <w:rsid w:val="00CA60BA"/>
    <w:rsid w:val="00CA71FA"/>
    <w:rsid w:val="00CB02FA"/>
    <w:rsid w:val="00CB1045"/>
    <w:rsid w:val="00CB2360"/>
    <w:rsid w:val="00CB2EEE"/>
    <w:rsid w:val="00CB32FC"/>
    <w:rsid w:val="00CB4C16"/>
    <w:rsid w:val="00CB5818"/>
    <w:rsid w:val="00CB7310"/>
    <w:rsid w:val="00CC1FC8"/>
    <w:rsid w:val="00CC295D"/>
    <w:rsid w:val="00CC4849"/>
    <w:rsid w:val="00CC4B8E"/>
    <w:rsid w:val="00CC7D8A"/>
    <w:rsid w:val="00CD5B4D"/>
    <w:rsid w:val="00CE0681"/>
    <w:rsid w:val="00CE27C4"/>
    <w:rsid w:val="00CE6AE0"/>
    <w:rsid w:val="00CE75BB"/>
    <w:rsid w:val="00CE767A"/>
    <w:rsid w:val="00CF1B0D"/>
    <w:rsid w:val="00CF25A8"/>
    <w:rsid w:val="00CF3791"/>
    <w:rsid w:val="00CF3910"/>
    <w:rsid w:val="00CF58A4"/>
    <w:rsid w:val="00D000F8"/>
    <w:rsid w:val="00D00CE8"/>
    <w:rsid w:val="00D03E99"/>
    <w:rsid w:val="00D05045"/>
    <w:rsid w:val="00D05AF2"/>
    <w:rsid w:val="00D05BED"/>
    <w:rsid w:val="00D06766"/>
    <w:rsid w:val="00D11BB4"/>
    <w:rsid w:val="00D12B2A"/>
    <w:rsid w:val="00D21A59"/>
    <w:rsid w:val="00D21E5B"/>
    <w:rsid w:val="00D27977"/>
    <w:rsid w:val="00D27B61"/>
    <w:rsid w:val="00D27FFC"/>
    <w:rsid w:val="00D3062D"/>
    <w:rsid w:val="00D3765A"/>
    <w:rsid w:val="00D376FD"/>
    <w:rsid w:val="00D400F7"/>
    <w:rsid w:val="00D47477"/>
    <w:rsid w:val="00D50B01"/>
    <w:rsid w:val="00D53BDD"/>
    <w:rsid w:val="00D54734"/>
    <w:rsid w:val="00D55283"/>
    <w:rsid w:val="00D571F9"/>
    <w:rsid w:val="00D62294"/>
    <w:rsid w:val="00D675CD"/>
    <w:rsid w:val="00D707AC"/>
    <w:rsid w:val="00D70CFA"/>
    <w:rsid w:val="00D71FF4"/>
    <w:rsid w:val="00D72600"/>
    <w:rsid w:val="00D73E98"/>
    <w:rsid w:val="00D77469"/>
    <w:rsid w:val="00D7783C"/>
    <w:rsid w:val="00D80620"/>
    <w:rsid w:val="00D84701"/>
    <w:rsid w:val="00D84821"/>
    <w:rsid w:val="00D938BA"/>
    <w:rsid w:val="00D95280"/>
    <w:rsid w:val="00D95696"/>
    <w:rsid w:val="00D97355"/>
    <w:rsid w:val="00DA0DC9"/>
    <w:rsid w:val="00DA2B8D"/>
    <w:rsid w:val="00DA5305"/>
    <w:rsid w:val="00DA6C41"/>
    <w:rsid w:val="00DA73CE"/>
    <w:rsid w:val="00DB4823"/>
    <w:rsid w:val="00DB74C1"/>
    <w:rsid w:val="00DC025E"/>
    <w:rsid w:val="00DC24DC"/>
    <w:rsid w:val="00DC2C9C"/>
    <w:rsid w:val="00DC559D"/>
    <w:rsid w:val="00DC5E28"/>
    <w:rsid w:val="00DC6DBA"/>
    <w:rsid w:val="00DC7F53"/>
    <w:rsid w:val="00DD3246"/>
    <w:rsid w:val="00DD3CAF"/>
    <w:rsid w:val="00DD530D"/>
    <w:rsid w:val="00DD5C45"/>
    <w:rsid w:val="00DD78C1"/>
    <w:rsid w:val="00DE0769"/>
    <w:rsid w:val="00DE0ABD"/>
    <w:rsid w:val="00DE1604"/>
    <w:rsid w:val="00DE1674"/>
    <w:rsid w:val="00DE1977"/>
    <w:rsid w:val="00DE29B5"/>
    <w:rsid w:val="00DE3A77"/>
    <w:rsid w:val="00DF12A9"/>
    <w:rsid w:val="00DF1A76"/>
    <w:rsid w:val="00DF2B09"/>
    <w:rsid w:val="00DF50FF"/>
    <w:rsid w:val="00E01BF0"/>
    <w:rsid w:val="00E02852"/>
    <w:rsid w:val="00E04F11"/>
    <w:rsid w:val="00E15D9A"/>
    <w:rsid w:val="00E1604A"/>
    <w:rsid w:val="00E17EC1"/>
    <w:rsid w:val="00E227A2"/>
    <w:rsid w:val="00E235CF"/>
    <w:rsid w:val="00E23C90"/>
    <w:rsid w:val="00E273E9"/>
    <w:rsid w:val="00E276CC"/>
    <w:rsid w:val="00E30F1D"/>
    <w:rsid w:val="00E31BA4"/>
    <w:rsid w:val="00E32295"/>
    <w:rsid w:val="00E338AA"/>
    <w:rsid w:val="00E33970"/>
    <w:rsid w:val="00E3453A"/>
    <w:rsid w:val="00E402AF"/>
    <w:rsid w:val="00E4038F"/>
    <w:rsid w:val="00E4613B"/>
    <w:rsid w:val="00E46E21"/>
    <w:rsid w:val="00E471F8"/>
    <w:rsid w:val="00E519F5"/>
    <w:rsid w:val="00E546E3"/>
    <w:rsid w:val="00E54F5A"/>
    <w:rsid w:val="00E55CB4"/>
    <w:rsid w:val="00E65200"/>
    <w:rsid w:val="00E66DD4"/>
    <w:rsid w:val="00E700BF"/>
    <w:rsid w:val="00E70EBF"/>
    <w:rsid w:val="00E72546"/>
    <w:rsid w:val="00E7452F"/>
    <w:rsid w:val="00E8184F"/>
    <w:rsid w:val="00E81A57"/>
    <w:rsid w:val="00E84980"/>
    <w:rsid w:val="00E871FD"/>
    <w:rsid w:val="00E9142E"/>
    <w:rsid w:val="00E91906"/>
    <w:rsid w:val="00E91E62"/>
    <w:rsid w:val="00E92F72"/>
    <w:rsid w:val="00E9430B"/>
    <w:rsid w:val="00E94980"/>
    <w:rsid w:val="00E97BCE"/>
    <w:rsid w:val="00E97D73"/>
    <w:rsid w:val="00EA10A6"/>
    <w:rsid w:val="00EA2A11"/>
    <w:rsid w:val="00EA2F04"/>
    <w:rsid w:val="00EA4903"/>
    <w:rsid w:val="00EB350D"/>
    <w:rsid w:val="00EB4F8A"/>
    <w:rsid w:val="00EB72D2"/>
    <w:rsid w:val="00EC04AD"/>
    <w:rsid w:val="00EC0C19"/>
    <w:rsid w:val="00EC360A"/>
    <w:rsid w:val="00EC3692"/>
    <w:rsid w:val="00EC5391"/>
    <w:rsid w:val="00EC718C"/>
    <w:rsid w:val="00ED2757"/>
    <w:rsid w:val="00ED36AD"/>
    <w:rsid w:val="00ED7F9E"/>
    <w:rsid w:val="00EE1A68"/>
    <w:rsid w:val="00EE2525"/>
    <w:rsid w:val="00EE2D52"/>
    <w:rsid w:val="00EE351C"/>
    <w:rsid w:val="00EE50FA"/>
    <w:rsid w:val="00EE6550"/>
    <w:rsid w:val="00EE6EA6"/>
    <w:rsid w:val="00EF0369"/>
    <w:rsid w:val="00EF3455"/>
    <w:rsid w:val="00EF58D0"/>
    <w:rsid w:val="00EF602E"/>
    <w:rsid w:val="00EF77B9"/>
    <w:rsid w:val="00F00544"/>
    <w:rsid w:val="00F00C24"/>
    <w:rsid w:val="00F018B3"/>
    <w:rsid w:val="00F01B37"/>
    <w:rsid w:val="00F04A58"/>
    <w:rsid w:val="00F04ADB"/>
    <w:rsid w:val="00F0636E"/>
    <w:rsid w:val="00F07E29"/>
    <w:rsid w:val="00F10063"/>
    <w:rsid w:val="00F105CD"/>
    <w:rsid w:val="00F106A0"/>
    <w:rsid w:val="00F106D0"/>
    <w:rsid w:val="00F162F6"/>
    <w:rsid w:val="00F1727F"/>
    <w:rsid w:val="00F17DF8"/>
    <w:rsid w:val="00F21CC4"/>
    <w:rsid w:val="00F229BF"/>
    <w:rsid w:val="00F24A48"/>
    <w:rsid w:val="00F24B71"/>
    <w:rsid w:val="00F2705F"/>
    <w:rsid w:val="00F30DFA"/>
    <w:rsid w:val="00F3207D"/>
    <w:rsid w:val="00F34E3C"/>
    <w:rsid w:val="00F35913"/>
    <w:rsid w:val="00F36B13"/>
    <w:rsid w:val="00F37D20"/>
    <w:rsid w:val="00F4000E"/>
    <w:rsid w:val="00F445E6"/>
    <w:rsid w:val="00F474DF"/>
    <w:rsid w:val="00F476ED"/>
    <w:rsid w:val="00F51533"/>
    <w:rsid w:val="00F51E8B"/>
    <w:rsid w:val="00F52BC9"/>
    <w:rsid w:val="00F52ED1"/>
    <w:rsid w:val="00F54474"/>
    <w:rsid w:val="00F57F87"/>
    <w:rsid w:val="00F60087"/>
    <w:rsid w:val="00F60CC6"/>
    <w:rsid w:val="00F619F8"/>
    <w:rsid w:val="00F61F64"/>
    <w:rsid w:val="00F64BC6"/>
    <w:rsid w:val="00F658CA"/>
    <w:rsid w:val="00F706F0"/>
    <w:rsid w:val="00F71E77"/>
    <w:rsid w:val="00F72303"/>
    <w:rsid w:val="00F72A81"/>
    <w:rsid w:val="00F7558F"/>
    <w:rsid w:val="00F76BB1"/>
    <w:rsid w:val="00F8052E"/>
    <w:rsid w:val="00F81F2F"/>
    <w:rsid w:val="00F83BFF"/>
    <w:rsid w:val="00F83F81"/>
    <w:rsid w:val="00F851EA"/>
    <w:rsid w:val="00F869D5"/>
    <w:rsid w:val="00F87D6A"/>
    <w:rsid w:val="00F9083F"/>
    <w:rsid w:val="00F91E0F"/>
    <w:rsid w:val="00F92231"/>
    <w:rsid w:val="00F9663D"/>
    <w:rsid w:val="00FA0FF9"/>
    <w:rsid w:val="00FA505F"/>
    <w:rsid w:val="00FA50ED"/>
    <w:rsid w:val="00FA57C6"/>
    <w:rsid w:val="00FA5CAD"/>
    <w:rsid w:val="00FB3221"/>
    <w:rsid w:val="00FB4BE1"/>
    <w:rsid w:val="00FB643D"/>
    <w:rsid w:val="00FB6F45"/>
    <w:rsid w:val="00FC06EC"/>
    <w:rsid w:val="00FC20B4"/>
    <w:rsid w:val="00FC255E"/>
    <w:rsid w:val="00FC36F8"/>
    <w:rsid w:val="00FC50EF"/>
    <w:rsid w:val="00FC657F"/>
    <w:rsid w:val="00FC7391"/>
    <w:rsid w:val="00FD4F99"/>
    <w:rsid w:val="00FD5131"/>
    <w:rsid w:val="00FD7D5D"/>
    <w:rsid w:val="00FD7ECB"/>
    <w:rsid w:val="00FE00C1"/>
    <w:rsid w:val="00FE013F"/>
    <w:rsid w:val="00FE0EBD"/>
    <w:rsid w:val="00FE4695"/>
    <w:rsid w:val="00FE6483"/>
    <w:rsid w:val="00FE6C81"/>
    <w:rsid w:val="00FF15E0"/>
    <w:rsid w:val="00FF2216"/>
    <w:rsid w:val="00FF31D8"/>
    <w:rsid w:val="00FF49C5"/>
    <w:rsid w:val="0314551A"/>
    <w:rsid w:val="04A318A1"/>
    <w:rsid w:val="079F0883"/>
    <w:rsid w:val="11064295"/>
    <w:rsid w:val="1CD7380C"/>
    <w:rsid w:val="1EE53F49"/>
    <w:rsid w:val="24E20D41"/>
    <w:rsid w:val="2961683C"/>
    <w:rsid w:val="296B71D9"/>
    <w:rsid w:val="2C6F75CD"/>
    <w:rsid w:val="2CEA63A7"/>
    <w:rsid w:val="2E422ED6"/>
    <w:rsid w:val="32B63F59"/>
    <w:rsid w:val="34F437FA"/>
    <w:rsid w:val="38D6B3D3"/>
    <w:rsid w:val="3A0E5615"/>
    <w:rsid w:val="3C766298"/>
    <w:rsid w:val="3E877619"/>
    <w:rsid w:val="40A52C4E"/>
    <w:rsid w:val="424F46D9"/>
    <w:rsid w:val="4A9A5965"/>
    <w:rsid w:val="4E5C765F"/>
    <w:rsid w:val="4E7905F2"/>
    <w:rsid w:val="4ECF35D8"/>
    <w:rsid w:val="4F3417A4"/>
    <w:rsid w:val="50767541"/>
    <w:rsid w:val="51340432"/>
    <w:rsid w:val="526C3A96"/>
    <w:rsid w:val="536C2AD8"/>
    <w:rsid w:val="563E4B38"/>
    <w:rsid w:val="59AC326A"/>
    <w:rsid w:val="5AEF415E"/>
    <w:rsid w:val="5C615CA1"/>
    <w:rsid w:val="5D240301"/>
    <w:rsid w:val="5DF46C9C"/>
    <w:rsid w:val="5DFA13D2"/>
    <w:rsid w:val="5FA3430E"/>
    <w:rsid w:val="5FCE82C7"/>
    <w:rsid w:val="608E0B12"/>
    <w:rsid w:val="61A56A89"/>
    <w:rsid w:val="65B10F27"/>
    <w:rsid w:val="6F6F6772"/>
    <w:rsid w:val="6FFD4012"/>
    <w:rsid w:val="72DDC4DF"/>
    <w:rsid w:val="77463987"/>
    <w:rsid w:val="785ECCAC"/>
    <w:rsid w:val="7FB7D978"/>
    <w:rsid w:val="7FBF1E6C"/>
    <w:rsid w:val="B335BB74"/>
    <w:rsid w:val="BDBE6AEC"/>
    <w:rsid w:val="BEFF6661"/>
    <w:rsid w:val="D8A62509"/>
    <w:rsid w:val="F99F93F4"/>
    <w:rsid w:val="FDFF0FF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39"/>
    <w:pPr>
      <w:ind w:left="1260"/>
      <w:jc w:val="left"/>
    </w:pPr>
    <w:rPr>
      <w:rFonts w:ascii="Calibri" w:hAnsi="Calibri" w:cs="Calibri"/>
      <w:sz w:val="18"/>
      <w:szCs w:val="18"/>
    </w:rPr>
  </w:style>
  <w:style w:type="paragraph" w:styleId="6">
    <w:name w:val="Normal Indent"/>
    <w:basedOn w:val="1"/>
    <w:qFormat/>
    <w:uiPriority w:val="0"/>
    <w:pPr>
      <w:ind w:firstLine="420"/>
    </w:pPr>
    <w:rPr>
      <w:szCs w:val="20"/>
    </w:rPr>
  </w:style>
  <w:style w:type="paragraph" w:styleId="7">
    <w:name w:val="annotation text"/>
    <w:basedOn w:val="1"/>
    <w:link w:val="30"/>
    <w:qFormat/>
    <w:uiPriority w:val="0"/>
    <w:pPr>
      <w:jc w:val="left"/>
    </w:pPr>
  </w:style>
  <w:style w:type="paragraph" w:styleId="8">
    <w:name w:val="Body Text"/>
    <w:basedOn w:val="1"/>
    <w:qFormat/>
    <w:uiPriority w:val="0"/>
    <w:pPr>
      <w:jc w:val="center"/>
    </w:pPr>
    <w:rPr>
      <w:b/>
      <w:sz w:val="44"/>
      <w:szCs w:val="32"/>
    </w:rPr>
  </w:style>
  <w:style w:type="paragraph" w:styleId="9">
    <w:name w:val="toc 5"/>
    <w:basedOn w:val="1"/>
    <w:next w:val="1"/>
    <w:qFormat/>
    <w:uiPriority w:val="39"/>
    <w:pPr>
      <w:ind w:left="840"/>
      <w:jc w:val="left"/>
    </w:pPr>
    <w:rPr>
      <w:rFonts w:ascii="Calibri" w:hAnsi="Calibri" w:cs="Calibri"/>
      <w:sz w:val="18"/>
      <w:szCs w:val="18"/>
    </w:rPr>
  </w:style>
  <w:style w:type="paragraph" w:styleId="10">
    <w:name w:val="toc 3"/>
    <w:basedOn w:val="1"/>
    <w:next w:val="1"/>
    <w:qFormat/>
    <w:uiPriority w:val="39"/>
    <w:pPr>
      <w:ind w:left="420"/>
      <w:jc w:val="left"/>
    </w:pPr>
    <w:rPr>
      <w:rFonts w:ascii="Calibri" w:hAnsi="Calibri" w:cs="Calibri"/>
      <w:i/>
      <w:iCs/>
      <w:sz w:val="20"/>
      <w:szCs w:val="20"/>
    </w:rPr>
  </w:style>
  <w:style w:type="paragraph" w:styleId="11">
    <w:name w:val="toc 8"/>
    <w:basedOn w:val="1"/>
    <w:next w:val="1"/>
    <w:qFormat/>
    <w:uiPriority w:val="39"/>
    <w:pPr>
      <w:ind w:left="1470"/>
      <w:jc w:val="left"/>
    </w:pPr>
    <w:rPr>
      <w:rFonts w:ascii="Calibri" w:hAnsi="Calibri" w:cs="Calibri"/>
      <w:sz w:val="18"/>
      <w:szCs w:val="18"/>
    </w:rPr>
  </w:style>
  <w:style w:type="paragraph" w:styleId="12">
    <w:name w:val="Date"/>
    <w:basedOn w:val="1"/>
    <w:next w:val="1"/>
    <w:qFormat/>
    <w:uiPriority w:val="0"/>
    <w:pPr>
      <w:ind w:left="100" w:leftChars="2500"/>
    </w:pPr>
    <w:rPr>
      <w:rFonts w:ascii="仿宋_GB2312" w:hAnsi="Arial" w:eastAsia="仿宋_GB2312"/>
      <w:b/>
      <w:sz w:val="36"/>
    </w:rPr>
  </w:style>
  <w:style w:type="paragraph" w:styleId="13">
    <w:name w:val="Balloon Text"/>
    <w:basedOn w:val="1"/>
    <w:link w:val="31"/>
    <w:qFormat/>
    <w:uiPriority w:val="0"/>
    <w:rPr>
      <w:sz w:val="18"/>
      <w:szCs w:val="18"/>
    </w:rPr>
  </w:style>
  <w:style w:type="paragraph" w:styleId="14">
    <w:name w:val="footer"/>
    <w:basedOn w:val="1"/>
    <w:link w:val="32"/>
    <w:qFormat/>
    <w:uiPriority w:val="99"/>
    <w:pPr>
      <w:tabs>
        <w:tab w:val="center" w:pos="4153"/>
        <w:tab w:val="right" w:pos="8306"/>
      </w:tabs>
      <w:snapToGrid w:val="0"/>
      <w:jc w:val="left"/>
    </w:pPr>
    <w:rPr>
      <w:sz w:val="18"/>
      <w:szCs w:val="18"/>
    </w:rPr>
  </w:style>
  <w:style w:type="paragraph" w:styleId="15">
    <w:name w:val="header"/>
    <w:basedOn w:val="1"/>
    <w:link w:val="33"/>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tabs>
        <w:tab w:val="right" w:leader="dot" w:pos="8637"/>
      </w:tabs>
      <w:spacing w:before="120" w:after="120" w:line="360" w:lineRule="auto"/>
      <w:jc w:val="left"/>
    </w:pPr>
    <w:rPr>
      <w:rFonts w:ascii="Calibri" w:hAnsi="Calibri" w:cs="Calibri"/>
      <w:b/>
      <w:bCs/>
      <w:caps/>
      <w:sz w:val="20"/>
      <w:szCs w:val="20"/>
    </w:rPr>
  </w:style>
  <w:style w:type="paragraph" w:styleId="17">
    <w:name w:val="toc 4"/>
    <w:basedOn w:val="1"/>
    <w:next w:val="1"/>
    <w:qFormat/>
    <w:uiPriority w:val="39"/>
    <w:pPr>
      <w:ind w:left="630"/>
      <w:jc w:val="left"/>
    </w:pPr>
    <w:rPr>
      <w:rFonts w:ascii="Calibri" w:hAnsi="Calibri" w:cs="Calibri"/>
      <w:sz w:val="18"/>
      <w:szCs w:val="18"/>
    </w:rPr>
  </w:style>
  <w:style w:type="paragraph" w:styleId="18">
    <w:name w:val="toc 6"/>
    <w:basedOn w:val="1"/>
    <w:next w:val="1"/>
    <w:qFormat/>
    <w:uiPriority w:val="39"/>
    <w:pPr>
      <w:ind w:left="1050"/>
      <w:jc w:val="left"/>
    </w:pPr>
    <w:rPr>
      <w:rFonts w:ascii="Calibri" w:hAnsi="Calibri" w:cs="Calibri"/>
      <w:sz w:val="18"/>
      <w:szCs w:val="18"/>
    </w:rPr>
  </w:style>
  <w:style w:type="paragraph" w:styleId="19">
    <w:name w:val="toc 2"/>
    <w:basedOn w:val="1"/>
    <w:next w:val="1"/>
    <w:qFormat/>
    <w:uiPriority w:val="39"/>
    <w:pPr>
      <w:ind w:left="210"/>
      <w:jc w:val="left"/>
    </w:pPr>
    <w:rPr>
      <w:rFonts w:ascii="Calibri" w:hAnsi="Calibri" w:cs="Calibri"/>
      <w:smallCaps/>
      <w:sz w:val="20"/>
      <w:szCs w:val="20"/>
    </w:rPr>
  </w:style>
  <w:style w:type="paragraph" w:styleId="20">
    <w:name w:val="toc 9"/>
    <w:basedOn w:val="1"/>
    <w:next w:val="1"/>
    <w:qFormat/>
    <w:uiPriority w:val="39"/>
    <w:pPr>
      <w:ind w:left="1680"/>
      <w:jc w:val="left"/>
    </w:pPr>
    <w:rPr>
      <w:rFonts w:ascii="Calibri" w:hAnsi="Calibri" w:cs="Calibri"/>
      <w:sz w:val="18"/>
      <w:szCs w:val="18"/>
    </w:rPr>
  </w:style>
  <w:style w:type="paragraph" w:styleId="21">
    <w:name w:val="Body Text 2"/>
    <w:basedOn w:val="1"/>
    <w:qFormat/>
    <w:uiPriority w:val="0"/>
    <w:pPr>
      <w:spacing w:line="360" w:lineRule="auto"/>
    </w:pPr>
    <w:rPr>
      <w:sz w:val="28"/>
    </w:rPr>
  </w:style>
  <w:style w:type="paragraph" w:styleId="22">
    <w:name w:val="Normal (Web)"/>
    <w:basedOn w:val="1"/>
    <w:qFormat/>
    <w:uiPriority w:val="0"/>
    <w:pPr>
      <w:widowControl/>
      <w:spacing w:before="100" w:beforeAutospacing="1" w:after="100" w:afterAutospacing="1"/>
      <w:jc w:val="left"/>
    </w:pPr>
    <w:rPr>
      <w:rFonts w:ascii=", Arial" w:hAnsi=", Arial" w:eastAsia="Arial Unicode MS" w:cs="Arial Unicode MS"/>
      <w:kern w:val="0"/>
      <w:sz w:val="20"/>
      <w:szCs w:val="20"/>
      <w:lang w:eastAsia="en-US"/>
    </w:rPr>
  </w:style>
  <w:style w:type="paragraph" w:styleId="23">
    <w:name w:val="annotation subject"/>
    <w:basedOn w:val="7"/>
    <w:next w:val="7"/>
    <w:link w:val="34"/>
    <w:qFormat/>
    <w:uiPriority w:val="0"/>
    <w:rPr>
      <w:b/>
      <w:bCs/>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qFormat/>
    <w:uiPriority w:val="99"/>
    <w:rPr>
      <w:color w:val="0000FF"/>
      <w:u w:val="single"/>
    </w:rPr>
  </w:style>
  <w:style w:type="character" w:styleId="29">
    <w:name w:val="annotation reference"/>
    <w:qFormat/>
    <w:uiPriority w:val="0"/>
    <w:rPr>
      <w:sz w:val="21"/>
      <w:szCs w:val="21"/>
    </w:rPr>
  </w:style>
  <w:style w:type="character" w:customStyle="1" w:styleId="30">
    <w:name w:val="批注文字 字符"/>
    <w:link w:val="7"/>
    <w:qFormat/>
    <w:uiPriority w:val="0"/>
    <w:rPr>
      <w:kern w:val="2"/>
      <w:sz w:val="21"/>
      <w:szCs w:val="24"/>
    </w:rPr>
  </w:style>
  <w:style w:type="character" w:customStyle="1" w:styleId="31">
    <w:name w:val="批注框文本 Char"/>
    <w:link w:val="13"/>
    <w:qFormat/>
    <w:uiPriority w:val="0"/>
    <w:rPr>
      <w:kern w:val="2"/>
      <w:sz w:val="18"/>
      <w:szCs w:val="18"/>
    </w:rPr>
  </w:style>
  <w:style w:type="character" w:customStyle="1" w:styleId="32">
    <w:name w:val="页脚 Char"/>
    <w:link w:val="14"/>
    <w:qFormat/>
    <w:uiPriority w:val="0"/>
    <w:rPr>
      <w:kern w:val="2"/>
      <w:sz w:val="18"/>
      <w:szCs w:val="18"/>
    </w:rPr>
  </w:style>
  <w:style w:type="character" w:customStyle="1" w:styleId="33">
    <w:name w:val="页眉 Char"/>
    <w:link w:val="15"/>
    <w:qFormat/>
    <w:uiPriority w:val="99"/>
    <w:rPr>
      <w:kern w:val="2"/>
      <w:sz w:val="18"/>
      <w:szCs w:val="18"/>
    </w:rPr>
  </w:style>
  <w:style w:type="character" w:customStyle="1" w:styleId="34">
    <w:name w:val="批注主题 字符"/>
    <w:link w:val="23"/>
    <w:qFormat/>
    <w:uiPriority w:val="0"/>
    <w:rPr>
      <w:b/>
      <w:bCs/>
      <w:kern w:val="2"/>
      <w:sz w:val="21"/>
      <w:szCs w:val="24"/>
    </w:rPr>
  </w:style>
  <w:style w:type="paragraph" w:customStyle="1" w:styleId="3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toa"/>
    <w:basedOn w:val="1"/>
    <w:link w:val="37"/>
    <w:qFormat/>
    <w:uiPriority w:val="0"/>
    <w:pPr>
      <w:widowControl/>
      <w:tabs>
        <w:tab w:val="left" w:pos="9000"/>
        <w:tab w:val="right" w:pos="9360"/>
      </w:tabs>
      <w:suppressAutoHyphens/>
      <w:jc w:val="left"/>
    </w:pPr>
    <w:rPr>
      <w:rFonts w:ascii="Arial" w:hAnsi="Arial"/>
      <w:kern w:val="0"/>
      <w:sz w:val="24"/>
      <w:szCs w:val="20"/>
    </w:rPr>
  </w:style>
  <w:style w:type="character" w:customStyle="1" w:styleId="37">
    <w:name w:val="toa Char"/>
    <w:link w:val="36"/>
    <w:qFormat/>
    <w:uiPriority w:val="0"/>
    <w:rPr>
      <w:rFonts w:ascii="Arial" w:hAnsi="Arial"/>
      <w:sz w:val="24"/>
    </w:rPr>
  </w:style>
  <w:style w:type="paragraph" w:customStyle="1" w:styleId="38">
    <w:name w:val="章标题"/>
    <w:next w:val="35"/>
    <w:qFormat/>
    <w:uiPriority w:val="0"/>
    <w:pPr>
      <w:numPr>
        <w:ilvl w:val="1"/>
        <w:numId w:val="1"/>
      </w:numPr>
      <w:spacing w:beforeLines="50" w:afterLines="50"/>
      <w:jc w:val="both"/>
      <w:outlineLvl w:val="1"/>
    </w:pPr>
    <w:rPr>
      <w:rFonts w:ascii="黑体" w:hAnsi="Times New Roman" w:eastAsia="黑体" w:cs="Times New Roman"/>
      <w:sz w:val="21"/>
      <w:lang w:val="en-US" w:eastAsia="zh-CN" w:bidi="ar-SA"/>
    </w:rPr>
  </w:style>
  <w:style w:type="paragraph" w:customStyle="1" w:styleId="39">
    <w:name w:val="一级条标题"/>
    <w:basedOn w:val="38"/>
    <w:next w:val="35"/>
    <w:link w:val="40"/>
    <w:qFormat/>
    <w:uiPriority w:val="0"/>
    <w:pPr>
      <w:numPr>
        <w:ilvl w:val="2"/>
        <w:numId w:val="1"/>
      </w:numPr>
      <w:spacing w:beforeLines="0" w:afterLines="0"/>
      <w:outlineLvl w:val="2"/>
    </w:pPr>
  </w:style>
  <w:style w:type="character" w:customStyle="1" w:styleId="40">
    <w:name w:val="一级条标题 Char1"/>
    <w:link w:val="39"/>
    <w:qFormat/>
    <w:uiPriority w:val="0"/>
    <w:rPr>
      <w:rFonts w:ascii="黑体" w:eastAsia="黑体"/>
      <w:sz w:val="21"/>
    </w:rPr>
  </w:style>
  <w:style w:type="paragraph" w:customStyle="1" w:styleId="41">
    <w:name w:val="二级条标题"/>
    <w:basedOn w:val="39"/>
    <w:next w:val="35"/>
    <w:qFormat/>
    <w:uiPriority w:val="0"/>
    <w:pPr>
      <w:numPr>
        <w:ilvl w:val="3"/>
        <w:numId w:val="1"/>
      </w:numPr>
      <w:outlineLvl w:val="3"/>
    </w:pPr>
  </w:style>
  <w:style w:type="paragraph" w:customStyle="1" w:styleId="42">
    <w:name w:val="三级条标题"/>
    <w:basedOn w:val="41"/>
    <w:next w:val="35"/>
    <w:qFormat/>
    <w:uiPriority w:val="0"/>
    <w:pPr>
      <w:numPr>
        <w:ilvl w:val="4"/>
        <w:numId w:val="1"/>
      </w:numPr>
      <w:outlineLvl w:val="4"/>
    </w:pPr>
  </w:style>
  <w:style w:type="paragraph" w:styleId="43">
    <w:name w:val="List Paragraph"/>
    <w:basedOn w:val="1"/>
    <w:link w:val="44"/>
    <w:qFormat/>
    <w:uiPriority w:val="34"/>
    <w:pPr>
      <w:ind w:firstLine="420" w:firstLineChars="200"/>
    </w:pPr>
    <w:rPr>
      <w:szCs w:val="20"/>
    </w:rPr>
  </w:style>
  <w:style w:type="character" w:customStyle="1" w:styleId="44">
    <w:name w:val="列出段落 Char"/>
    <w:link w:val="43"/>
    <w:qFormat/>
    <w:uiPriority w:val="34"/>
    <w:rPr>
      <w:kern w:val="2"/>
      <w:sz w:val="21"/>
    </w:rPr>
  </w:style>
  <w:style w:type="paragraph" w:customStyle="1" w:styleId="45">
    <w:name w:val=" Char"/>
    <w:basedOn w:val="1"/>
    <w:qFormat/>
    <w:uiPriority w:val="0"/>
  </w:style>
  <w:style w:type="paragraph" w:customStyle="1" w:styleId="46">
    <w:name w:val="列项◆（三级）"/>
    <w:qFormat/>
    <w:uiPriority w:val="0"/>
    <w:pPr>
      <w:numPr>
        <w:ilvl w:val="0"/>
        <w:numId w:val="2"/>
      </w:numPr>
      <w:tabs>
        <w:tab w:val="left" w:pos="960"/>
      </w:tabs>
    </w:pPr>
    <w:rPr>
      <w:rFonts w:ascii="宋体" w:hAnsi="Times New Roman" w:eastAsia="宋体" w:cs="Times New Roman"/>
      <w:sz w:val="21"/>
      <w:lang w:val="en-US" w:eastAsia="zh-CN" w:bidi="ar-SA"/>
    </w:rPr>
  </w:style>
  <w:style w:type="paragraph" w:customStyle="1" w:styleId="47">
    <w:name w:val="样式1"/>
    <w:basedOn w:val="36"/>
    <w:link w:val="48"/>
    <w:qFormat/>
    <w:uiPriority w:val="0"/>
    <w:pPr>
      <w:tabs>
        <w:tab w:val="left" w:pos="426"/>
      </w:tabs>
      <w:suppressAutoHyphens w:val="0"/>
      <w:spacing w:line="360" w:lineRule="auto"/>
      <w:outlineLvl w:val="0"/>
    </w:pPr>
    <w:rPr>
      <w:rFonts w:ascii="宋体" w:hAnsi="宋体"/>
      <w:b/>
      <w:bCs/>
      <w:color w:val="000000"/>
      <w:sz w:val="21"/>
      <w:szCs w:val="21"/>
    </w:rPr>
  </w:style>
  <w:style w:type="character" w:customStyle="1" w:styleId="48">
    <w:name w:val="样式1 Char"/>
    <w:link w:val="47"/>
    <w:qFormat/>
    <w:uiPriority w:val="0"/>
    <w:rPr>
      <w:rFonts w:ascii="宋体" w:hAnsi="宋体"/>
      <w:b/>
      <w:bCs/>
      <w:color w:val="000000"/>
      <w:sz w:val="21"/>
      <w:szCs w:val="21"/>
    </w:rPr>
  </w:style>
  <w:style w:type="paragraph" w:styleId="49">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50">
    <w:name w:val="p0"/>
    <w:basedOn w:val="1"/>
    <w:qFormat/>
    <w:uiPriority w:val="0"/>
    <w:pPr>
      <w:widowControl/>
    </w:pPr>
    <w:rPr>
      <w:kern w:val="0"/>
      <w:szCs w:val="21"/>
    </w:rPr>
  </w:style>
  <w:style w:type="paragraph" w:customStyle="1" w:styleId="51">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2">
    <w:name w:val="四级条标题"/>
    <w:basedOn w:val="42"/>
    <w:next w:val="1"/>
    <w:qFormat/>
    <w:uiPriority w:val="0"/>
    <w:pPr>
      <w:numPr>
        <w:ilvl w:val="0"/>
        <w:numId w:val="0"/>
      </w:numPr>
      <w:tabs>
        <w:tab w:val="left" w:pos="2520"/>
      </w:tabs>
      <w:ind w:left="2520" w:hanging="420"/>
      <w:outlineLvl w:val="5"/>
    </w:pPr>
  </w:style>
  <w:style w:type="paragraph" w:customStyle="1" w:styleId="53">
    <w:name w:val="五级条标题"/>
    <w:basedOn w:val="52"/>
    <w:next w:val="1"/>
    <w:qFormat/>
    <w:uiPriority w:val="0"/>
    <w:pPr>
      <w:tabs>
        <w:tab w:val="left" w:pos="2940"/>
        <w:tab w:val="clear" w:pos="2520"/>
      </w:tabs>
      <w:ind w:left="2940"/>
      <w:outlineLvl w:val="6"/>
    </w:pPr>
  </w:style>
  <w:style w:type="paragraph" w:customStyle="1" w:styleId="54">
    <w:name w:val="列项——（一级）"/>
    <w:qFormat/>
    <w:uiPriority w:val="0"/>
    <w:pPr>
      <w:widowControl w:val="0"/>
      <w:numPr>
        <w:ilvl w:val="0"/>
        <w:numId w:val="3"/>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table" w:customStyle="1" w:styleId="55">
    <w:name w:val="网格型1"/>
    <w:basedOn w:val="24"/>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6">
    <w:name w:val="页脚 字符"/>
    <w:qFormat/>
    <w:uiPriority w:val="99"/>
  </w:style>
  <w:style w:type="character" w:customStyle="1" w:styleId="57">
    <w:name w:val="页眉 字符"/>
    <w:qFormat/>
    <w:uiPriority w:val="99"/>
  </w:style>
  <w:style w:type="character" w:customStyle="1" w:styleId="58">
    <w:name w:val="fontstyle01"/>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jujumao</Company>
  <Pages>8</Pages>
  <Words>515</Words>
  <Characters>2938</Characters>
  <Lines>24</Lines>
  <Paragraphs>6</Paragraphs>
  <TotalTime>12</TotalTime>
  <ScaleCrop>false</ScaleCrop>
  <LinksUpToDate>false</LinksUpToDate>
  <CharactersWithSpaces>3447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2020-04-28T19:18:00Z</dcterms:created>
  <dc:creator>张广玉</dc:creator>
  <cp:lastModifiedBy>Wanghzh2</cp:lastModifiedBy>
  <cp:lastPrinted>2014-08-25T19:11:00Z</cp:lastPrinted>
  <dcterms:modified xsi:type="dcterms:W3CDTF">2026-06-22T01:05:44Z</dcterms:modified>
  <dc:title>131C换热器询价文件</dc:title>
  <cp:revision>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4B12AA55D3DDD0368BF6376A65509A65</vt:lpwstr>
  </property>
</Properties>
</file>