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keepLines/>
        <w:tabs>
          <w:tab w:val="left" w:pos="0"/>
          <w:tab w:val="left" w:pos="420"/>
          <w:tab w:val="center" w:pos="4153"/>
        </w:tabs>
        <w:autoSpaceDE w:val="0"/>
        <w:autoSpaceDN w:val="0"/>
        <w:adjustRightInd w:val="0"/>
        <w:spacing w:line="560" w:lineRule="exact"/>
        <w:jc w:val="center"/>
        <w:outlineLvl w:val="0"/>
        <w:rPr>
          <w:rFonts w:hint="eastAsia" w:ascii="宋体" w:hAnsi="宋体" w:eastAsia="宋体" w:cs="宋体"/>
          <w:b/>
          <w:bCs w:val="0"/>
          <w:sz w:val="28"/>
          <w:szCs w:val="28"/>
        </w:rPr>
      </w:pPr>
      <w:r>
        <w:rPr>
          <w:rFonts w:hint="eastAsia" w:ascii="宋体" w:hAnsi="宋体" w:eastAsia="宋体" w:cs="宋体"/>
          <w:b/>
          <w:bCs w:val="0"/>
          <w:kern w:val="44"/>
          <w:sz w:val="28"/>
          <w:szCs w:val="28"/>
        </w:rPr>
        <w:t>采办计划公告</w:t>
      </w:r>
    </w:p>
    <w:p>
      <w:pPr>
        <w:pStyle w:val="38"/>
        <w:rPr>
          <w:rFonts w:hint="eastAsia" w:ascii="宋体" w:hAnsi="宋体" w:eastAsia="宋体" w:cs="宋体"/>
          <w:b/>
          <w:bCs w:val="0"/>
          <w:sz w:val="28"/>
          <w:szCs w:val="28"/>
        </w:rPr>
      </w:pPr>
      <w:r>
        <w:rPr>
          <w:rFonts w:hint="eastAsia" w:ascii="宋体" w:hAnsi="宋体" w:eastAsia="宋体" w:cs="宋体"/>
          <w:b/>
          <w:bCs w:val="0"/>
          <w:sz w:val="28"/>
          <w:szCs w:val="28"/>
        </w:rPr>
        <w:t>窗体顶端</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jc w:val="left"/>
        <w:rPr>
          <w:rFonts w:hint="eastAsia" w:ascii="宋体" w:hAnsi="宋体" w:eastAsia="宋体" w:cs="宋体"/>
          <w:b/>
          <w:bCs w:val="0"/>
          <w:sz w:val="28"/>
          <w:szCs w:val="28"/>
        </w:rPr>
      </w:pPr>
      <w:r>
        <w:rPr>
          <w:rFonts w:hint="eastAsia" w:ascii="宋体" w:hAnsi="宋体" w:eastAsia="宋体" w:cs="宋体"/>
          <w:b/>
          <w:bCs w:val="0"/>
          <w:color w:val="333333"/>
          <w:kern w:val="2"/>
          <w:sz w:val="28"/>
          <w:szCs w:val="28"/>
          <w:lang w:val="en-US" w:eastAsia="zh-CN" w:bidi="ar"/>
        </w:rPr>
        <w:t xml:space="preserve">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562" w:firstLineChars="200"/>
        <w:jc w:val="left"/>
        <w:rPr>
          <w:rFonts w:hint="eastAsia" w:ascii="宋体" w:hAnsi="宋体" w:eastAsia="宋体" w:cs="宋体"/>
          <w:b/>
          <w:bCs w:val="0"/>
          <w:sz w:val="28"/>
          <w:szCs w:val="28"/>
        </w:rPr>
      </w:pPr>
      <w:r>
        <w:rPr>
          <w:rFonts w:hint="eastAsia" w:ascii="宋体" w:hAnsi="宋体" w:eastAsia="宋体" w:cs="宋体"/>
          <w:b/>
          <w:bCs w:val="0"/>
          <w:color w:val="333333"/>
          <w:kern w:val="2"/>
          <w:sz w:val="28"/>
          <w:szCs w:val="28"/>
          <w:lang w:val="en-US" w:eastAsia="zh-CN" w:bidi="ar"/>
        </w:rPr>
        <w:t>为便于供应商及时了解项目采办信息，现将</w:t>
      </w:r>
      <w:r>
        <w:rPr>
          <w:rFonts w:hint="eastAsia" w:ascii="宋体" w:hAnsi="宋体" w:eastAsia="宋体" w:cs="宋体"/>
          <w:b/>
          <w:bCs w:val="0"/>
          <w:color w:val="333333"/>
          <w:kern w:val="2"/>
          <w:sz w:val="28"/>
          <w:szCs w:val="28"/>
          <w:u w:val="single"/>
          <w:lang w:val="en-US" w:eastAsia="zh-CN" w:bidi="ar"/>
        </w:rPr>
        <w:t>（海油发展-上海区域中心-天津院南方地区技术服务专有协议）</w:t>
      </w:r>
      <w:r>
        <w:rPr>
          <w:rFonts w:hint="eastAsia" w:ascii="宋体" w:hAnsi="宋体" w:eastAsia="宋体" w:cs="宋体"/>
          <w:b/>
          <w:bCs w:val="0"/>
          <w:color w:val="333333"/>
          <w:kern w:val="2"/>
          <w:sz w:val="28"/>
          <w:szCs w:val="28"/>
          <w:lang w:val="en-US" w:eastAsia="zh-CN" w:bidi="ar"/>
        </w:rPr>
        <w:t>的采办计划公开如下：</w:t>
      </w:r>
    </w:p>
    <w:tbl>
      <w:tblPr>
        <w:tblStyle w:val="11"/>
        <w:tblW w:w="9237"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568"/>
        <w:gridCol w:w="786"/>
        <w:gridCol w:w="1283"/>
        <w:gridCol w:w="1017"/>
        <w:gridCol w:w="4255"/>
        <w:gridCol w:w="13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521" w:hRule="atLeast"/>
        </w:trPr>
        <w:tc>
          <w:tcPr>
            <w:tcW w:w="56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bCs w:val="0"/>
                <w:sz w:val="21"/>
                <w:szCs w:val="21"/>
              </w:rPr>
            </w:pPr>
            <w:r>
              <w:rPr>
                <w:rFonts w:hint="eastAsia" w:ascii="宋体" w:hAnsi="宋体" w:eastAsia="宋体" w:cs="宋体"/>
                <w:b/>
                <w:bCs w:val="0"/>
                <w:color w:val="333333"/>
                <w:kern w:val="0"/>
                <w:sz w:val="21"/>
                <w:szCs w:val="21"/>
                <w:lang w:val="en-US" w:eastAsia="zh-CN" w:bidi="ar"/>
              </w:rPr>
              <w:t>序号</w:t>
            </w:r>
          </w:p>
        </w:tc>
        <w:tc>
          <w:tcPr>
            <w:tcW w:w="786"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bCs w:val="0"/>
                <w:sz w:val="21"/>
                <w:szCs w:val="21"/>
              </w:rPr>
            </w:pPr>
            <w:r>
              <w:rPr>
                <w:rFonts w:hint="eastAsia" w:ascii="宋体" w:hAnsi="宋体" w:eastAsia="宋体" w:cs="宋体"/>
                <w:b/>
                <w:bCs w:val="0"/>
                <w:color w:val="333333"/>
                <w:kern w:val="0"/>
                <w:sz w:val="21"/>
                <w:szCs w:val="21"/>
                <w:lang w:val="en-US" w:eastAsia="zh-CN" w:bidi="ar"/>
              </w:rPr>
              <w:t>采办包</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bCs w:val="0"/>
                <w:sz w:val="21"/>
                <w:szCs w:val="21"/>
              </w:rPr>
            </w:pPr>
            <w:r>
              <w:rPr>
                <w:rFonts w:hint="eastAsia" w:ascii="宋体" w:hAnsi="宋体" w:eastAsia="宋体" w:cs="宋体"/>
                <w:b/>
                <w:bCs w:val="0"/>
                <w:color w:val="333333"/>
                <w:kern w:val="0"/>
                <w:sz w:val="21"/>
                <w:szCs w:val="21"/>
                <w:lang w:val="en-US" w:eastAsia="zh-CN" w:bidi="ar"/>
              </w:rPr>
              <w:t>名称</w:t>
            </w:r>
          </w:p>
        </w:tc>
        <w:tc>
          <w:tcPr>
            <w:tcW w:w="1283"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bCs w:val="0"/>
                <w:sz w:val="21"/>
                <w:szCs w:val="21"/>
              </w:rPr>
            </w:pPr>
            <w:r>
              <w:rPr>
                <w:rFonts w:hint="eastAsia" w:ascii="宋体" w:hAnsi="宋体" w:eastAsia="宋体" w:cs="宋体"/>
                <w:b/>
                <w:bCs w:val="0"/>
                <w:color w:val="333333"/>
                <w:kern w:val="0"/>
                <w:sz w:val="21"/>
                <w:szCs w:val="21"/>
                <w:lang w:val="en-US" w:eastAsia="zh-CN" w:bidi="ar"/>
              </w:rPr>
              <w:t>采购范围与主要技术指标</w:t>
            </w:r>
          </w:p>
        </w:tc>
        <w:tc>
          <w:tcPr>
            <w:tcW w:w="1017"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bCs w:val="0"/>
                <w:sz w:val="21"/>
                <w:szCs w:val="21"/>
              </w:rPr>
            </w:pPr>
            <w:r>
              <w:rPr>
                <w:rFonts w:hint="eastAsia" w:ascii="宋体" w:hAnsi="宋体" w:eastAsia="宋体" w:cs="宋体"/>
                <w:b/>
                <w:bCs w:val="0"/>
                <w:color w:val="333333"/>
                <w:kern w:val="0"/>
                <w:sz w:val="21"/>
                <w:szCs w:val="21"/>
                <w:lang w:val="en-US" w:eastAsia="zh-CN" w:bidi="ar"/>
              </w:rPr>
              <w:t>预计发标时间</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bCs w:val="0"/>
                <w:sz w:val="21"/>
                <w:szCs w:val="21"/>
              </w:rPr>
            </w:pPr>
          </w:p>
        </w:tc>
        <w:tc>
          <w:tcPr>
            <w:tcW w:w="425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bCs w:val="0"/>
                <w:sz w:val="21"/>
                <w:szCs w:val="21"/>
              </w:rPr>
            </w:pPr>
            <w:r>
              <w:rPr>
                <w:rFonts w:hint="eastAsia" w:ascii="宋体" w:hAnsi="宋体" w:eastAsia="宋体" w:cs="宋体"/>
                <w:b/>
                <w:bCs w:val="0"/>
                <w:color w:val="333333"/>
                <w:kern w:val="0"/>
                <w:sz w:val="21"/>
                <w:szCs w:val="21"/>
                <w:lang w:val="en-US" w:eastAsia="zh-CN" w:bidi="ar"/>
              </w:rPr>
              <w:t>供应商资质基本要求</w:t>
            </w:r>
          </w:p>
        </w:tc>
        <w:tc>
          <w:tcPr>
            <w:tcW w:w="1328"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bCs w:val="0"/>
                <w:sz w:val="21"/>
                <w:szCs w:val="21"/>
              </w:rPr>
            </w:pPr>
            <w:r>
              <w:rPr>
                <w:rFonts w:hint="eastAsia" w:ascii="宋体" w:hAnsi="宋体" w:eastAsia="宋体" w:cs="宋体"/>
                <w:b/>
                <w:bCs w:val="0"/>
                <w:color w:val="333333"/>
                <w:kern w:val="0"/>
                <w:sz w:val="21"/>
                <w:szCs w:val="21"/>
                <w:lang w:val="en-US" w:eastAsia="zh-CN"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826" w:hRule="atLeast"/>
        </w:trPr>
        <w:tc>
          <w:tcPr>
            <w:tcW w:w="568" w:type="dxa"/>
            <w:vMerge w:val="restart"/>
            <w:tcBorders>
              <w:top w:val="single" w:color="auto" w:sz="4" w:space="0"/>
              <w:left w:val="single" w:color="auto" w:sz="4" w:space="0"/>
              <w:right w:val="single" w:color="auto" w:sz="4"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bCs w:val="0"/>
                <w:sz w:val="21"/>
                <w:szCs w:val="21"/>
              </w:rPr>
            </w:pPr>
            <w:r>
              <w:rPr>
                <w:rFonts w:hint="eastAsia" w:ascii="宋体" w:hAnsi="宋体" w:eastAsia="宋体" w:cs="宋体"/>
                <w:b/>
                <w:bCs w:val="0"/>
                <w:color w:val="333333"/>
                <w:kern w:val="0"/>
                <w:sz w:val="21"/>
                <w:szCs w:val="21"/>
                <w:lang w:val="en-US" w:eastAsia="zh-CN" w:bidi="ar"/>
              </w:rPr>
              <w:t>1</w:t>
            </w:r>
          </w:p>
        </w:tc>
        <w:tc>
          <w:tcPr>
            <w:tcW w:w="786" w:type="dxa"/>
            <w:vMerge w:val="restart"/>
            <w:tcBorders>
              <w:top w:val="single" w:color="auto" w:sz="4" w:space="0"/>
              <w:left w:val="nil"/>
              <w:right w:val="single" w:color="auto" w:sz="4"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宋体" w:hAnsi="宋体" w:eastAsia="宋体" w:cs="宋体"/>
                <w:b/>
                <w:bCs w:val="0"/>
                <w:sz w:val="21"/>
                <w:szCs w:val="21"/>
                <w:lang w:val="en-US"/>
              </w:rPr>
            </w:pPr>
            <w:r>
              <w:rPr>
                <w:rFonts w:hint="eastAsia" w:ascii="宋体" w:hAnsi="宋体" w:eastAsia="宋体" w:cs="宋体"/>
                <w:b/>
                <w:bCs w:val="0"/>
                <w:i w:val="0"/>
                <w:iCs w:val="0"/>
                <w:caps w:val="0"/>
                <w:color w:val="333333"/>
                <w:spacing w:val="0"/>
                <w:kern w:val="2"/>
                <w:sz w:val="21"/>
                <w:szCs w:val="21"/>
                <w:lang w:val="en-US" w:eastAsia="zh-CN" w:bidi="ar"/>
              </w:rPr>
              <w:t>天津院南方地区技术服务专有协议</w:t>
            </w:r>
          </w:p>
        </w:tc>
        <w:tc>
          <w:tcPr>
            <w:tcW w:w="1283" w:type="dxa"/>
            <w:vMerge w:val="restart"/>
            <w:tcBorders>
              <w:top w:val="single" w:color="auto" w:sz="4" w:space="0"/>
              <w:left w:val="nil"/>
              <w:right w:val="single" w:color="auto" w:sz="4"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宋体" w:hAnsi="宋体" w:eastAsia="宋体" w:cs="宋体"/>
                <w:b/>
                <w:bCs w:val="0"/>
                <w:i w:val="0"/>
                <w:iCs w:val="0"/>
                <w:caps w:val="0"/>
                <w:color w:val="333333"/>
                <w:spacing w:val="0"/>
                <w:kern w:val="2"/>
                <w:sz w:val="21"/>
                <w:szCs w:val="21"/>
                <w:lang w:val="en-US" w:eastAsia="zh-CN" w:bidi="ar"/>
              </w:rPr>
            </w:pPr>
            <w:r>
              <w:rPr>
                <w:rFonts w:hint="eastAsia" w:ascii="宋体" w:hAnsi="宋体" w:eastAsia="宋体" w:cs="宋体"/>
                <w:b/>
                <w:bCs w:val="0"/>
                <w:i w:val="0"/>
                <w:iCs w:val="0"/>
                <w:caps w:val="0"/>
                <w:color w:val="333333"/>
                <w:spacing w:val="0"/>
                <w:kern w:val="2"/>
                <w:sz w:val="21"/>
                <w:szCs w:val="21"/>
                <w:lang w:val="en-US" w:eastAsia="zh-CN" w:bidi="ar"/>
              </w:rPr>
              <w:t xml:space="preserve">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宋体" w:hAnsi="宋体" w:eastAsia="宋体" w:cs="宋体"/>
                <w:b/>
                <w:bCs w:val="0"/>
                <w:i w:val="0"/>
                <w:iCs w:val="0"/>
                <w:caps w:val="0"/>
                <w:color w:val="333333"/>
                <w:spacing w:val="0"/>
                <w:kern w:val="2"/>
                <w:sz w:val="21"/>
                <w:szCs w:val="21"/>
                <w:lang w:val="en-US" w:eastAsia="zh-CN" w:bidi="ar"/>
              </w:rPr>
            </w:pPr>
            <w:r>
              <w:rPr>
                <w:rFonts w:hint="eastAsia" w:ascii="宋体" w:hAnsi="宋体" w:eastAsia="宋体" w:cs="宋体"/>
                <w:b/>
                <w:bCs w:val="0"/>
                <w:i w:val="0"/>
                <w:iCs w:val="0"/>
                <w:caps w:val="0"/>
                <w:color w:val="333333"/>
                <w:spacing w:val="0"/>
                <w:kern w:val="2"/>
                <w:sz w:val="21"/>
                <w:szCs w:val="21"/>
                <w:lang w:val="en-US" w:eastAsia="zh-CN" w:bidi="ar"/>
              </w:rPr>
              <w:t>具体内容要求见《附件技术文件》</w:t>
            </w:r>
          </w:p>
        </w:tc>
        <w:tc>
          <w:tcPr>
            <w:tcW w:w="1017" w:type="dxa"/>
            <w:vMerge w:val="restart"/>
            <w:tcBorders>
              <w:top w:val="single" w:color="auto" w:sz="4" w:space="0"/>
              <w:left w:val="nil"/>
              <w:right w:val="single" w:color="auto" w:sz="4"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宋体" w:hAnsi="宋体" w:eastAsia="宋体" w:cs="宋体"/>
                <w:b/>
                <w:bCs w:val="0"/>
                <w:i w:val="0"/>
                <w:iCs w:val="0"/>
                <w:caps w:val="0"/>
                <w:color w:val="333333"/>
                <w:spacing w:val="0"/>
                <w:kern w:val="2"/>
                <w:sz w:val="21"/>
                <w:szCs w:val="21"/>
                <w:lang w:val="en-US" w:eastAsia="zh-CN" w:bidi="ar"/>
              </w:rPr>
            </w:pPr>
            <w:r>
              <w:rPr>
                <w:rFonts w:hint="eastAsia" w:ascii="宋体" w:hAnsi="宋体" w:eastAsia="宋体" w:cs="宋体"/>
                <w:b/>
                <w:bCs w:val="0"/>
                <w:i w:val="0"/>
                <w:iCs w:val="0"/>
                <w:caps w:val="0"/>
                <w:color w:val="333333"/>
                <w:spacing w:val="0"/>
                <w:kern w:val="2"/>
                <w:sz w:val="21"/>
                <w:szCs w:val="21"/>
                <w:lang w:val="en-US" w:eastAsia="zh-CN" w:bidi="ar"/>
              </w:rPr>
              <w:t>2026.10</w:t>
            </w:r>
          </w:p>
        </w:tc>
        <w:tc>
          <w:tcPr>
            <w:tcW w:w="425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宋体" w:hAnsi="宋体" w:eastAsia="宋体" w:cs="宋体"/>
                <w:b/>
                <w:bCs w:val="0"/>
                <w:i w:val="0"/>
                <w:iCs w:val="0"/>
                <w:caps w:val="0"/>
                <w:color w:val="333333"/>
                <w:spacing w:val="0"/>
                <w:kern w:val="2"/>
                <w:sz w:val="21"/>
                <w:szCs w:val="21"/>
                <w:lang w:val="en-US" w:eastAsia="zh-CN" w:bidi="ar"/>
              </w:rPr>
            </w:pPr>
            <w:r>
              <w:rPr>
                <w:rFonts w:hint="eastAsia" w:ascii="宋体" w:hAnsi="宋体" w:eastAsia="宋体" w:cs="宋体"/>
                <w:b/>
                <w:bCs w:val="0"/>
                <w:i w:val="0"/>
                <w:iCs w:val="0"/>
                <w:caps w:val="0"/>
                <w:color w:val="333333"/>
                <w:spacing w:val="0"/>
                <w:kern w:val="2"/>
                <w:sz w:val="21"/>
                <w:szCs w:val="21"/>
                <w:lang w:val="en-US" w:eastAsia="zh-CN" w:bidi="ar"/>
              </w:rPr>
              <w:t>（1）资格要求</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宋体" w:hAnsi="宋体" w:eastAsia="宋体" w:cs="宋体"/>
                <w:b/>
                <w:bCs w:val="0"/>
                <w:i w:val="0"/>
                <w:iCs w:val="0"/>
                <w:caps w:val="0"/>
                <w:color w:val="333333"/>
                <w:spacing w:val="0"/>
                <w:kern w:val="2"/>
                <w:sz w:val="21"/>
                <w:szCs w:val="21"/>
                <w:lang w:val="en-US" w:eastAsia="zh-CN" w:bidi="ar"/>
              </w:rPr>
            </w:pPr>
            <w:r>
              <w:rPr>
                <w:rFonts w:hint="eastAsia" w:ascii="宋体" w:hAnsi="宋体" w:eastAsia="宋体" w:cs="宋体"/>
                <w:b/>
                <w:bCs w:val="0"/>
                <w:i w:val="0"/>
                <w:iCs w:val="0"/>
                <w:caps w:val="0"/>
                <w:color w:val="333333"/>
                <w:spacing w:val="0"/>
                <w:kern w:val="2"/>
                <w:sz w:val="21"/>
                <w:szCs w:val="21"/>
                <w:lang w:val="en-US" w:eastAsia="zh-CN" w:bidi="ar"/>
              </w:rPr>
              <w:t>营业执照：投标人须是中华人民共和国境内具有独立承担民事责任能力的法人 ，或具备国家认可经营资格的其他组织。</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宋体" w:hAnsi="宋体" w:eastAsia="宋体" w:cs="宋体"/>
                <w:b/>
                <w:bCs w:val="0"/>
                <w:i w:val="0"/>
                <w:iCs w:val="0"/>
                <w:caps w:val="0"/>
                <w:color w:val="333333"/>
                <w:spacing w:val="0"/>
                <w:kern w:val="2"/>
                <w:sz w:val="21"/>
                <w:szCs w:val="21"/>
                <w:lang w:val="en-US" w:eastAsia="zh-CN" w:bidi="ar"/>
              </w:rPr>
            </w:pPr>
            <w:r>
              <w:rPr>
                <w:rFonts w:hint="eastAsia" w:ascii="宋体" w:hAnsi="宋体" w:eastAsia="宋体" w:cs="宋体"/>
                <w:b/>
                <w:bCs w:val="0"/>
                <w:i w:val="0"/>
                <w:iCs w:val="0"/>
                <w:caps w:val="0"/>
                <w:color w:val="333333"/>
                <w:spacing w:val="0"/>
                <w:kern w:val="2"/>
                <w:sz w:val="21"/>
                <w:szCs w:val="21"/>
                <w:lang w:val="en-US" w:eastAsia="zh-CN" w:bidi="ar"/>
              </w:rPr>
              <w:t>1）投标人为企业的，应具有合法有效的</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宋体" w:hAnsi="宋体" w:eastAsia="宋体" w:cs="宋体"/>
                <w:b/>
                <w:bCs w:val="0"/>
                <w:i w:val="0"/>
                <w:iCs w:val="0"/>
                <w:caps w:val="0"/>
                <w:color w:val="333333"/>
                <w:spacing w:val="0"/>
                <w:kern w:val="2"/>
                <w:sz w:val="21"/>
                <w:szCs w:val="21"/>
                <w:lang w:val="en-US" w:eastAsia="zh-CN" w:bidi="ar"/>
              </w:rPr>
            </w:pPr>
            <w:r>
              <w:rPr>
                <w:rFonts w:hint="eastAsia" w:ascii="宋体" w:hAnsi="宋体" w:eastAsia="宋体" w:cs="宋体"/>
                <w:b/>
                <w:bCs w:val="0"/>
                <w:i w:val="0"/>
                <w:iCs w:val="0"/>
                <w:caps w:val="0"/>
                <w:color w:val="333333"/>
                <w:spacing w:val="0"/>
                <w:kern w:val="2"/>
                <w:sz w:val="21"/>
                <w:szCs w:val="21"/>
                <w:lang w:val="en-US" w:eastAsia="zh-CN" w:bidi="ar"/>
              </w:rPr>
              <w:t>企业法人营业执照、税务登记证及组织机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宋体" w:hAnsi="宋体" w:eastAsia="宋体" w:cs="宋体"/>
                <w:b/>
                <w:bCs w:val="0"/>
                <w:i w:val="0"/>
                <w:iCs w:val="0"/>
                <w:caps w:val="0"/>
                <w:color w:val="333333"/>
                <w:spacing w:val="0"/>
                <w:kern w:val="2"/>
                <w:sz w:val="21"/>
                <w:szCs w:val="21"/>
                <w:lang w:val="en-US" w:eastAsia="zh-CN" w:bidi="ar"/>
              </w:rPr>
            </w:pPr>
            <w:r>
              <w:rPr>
                <w:rFonts w:hint="eastAsia" w:ascii="宋体" w:hAnsi="宋体" w:eastAsia="宋体" w:cs="宋体"/>
                <w:b/>
                <w:bCs w:val="0"/>
                <w:i w:val="0"/>
                <w:iCs w:val="0"/>
                <w:caps w:val="0"/>
                <w:color w:val="333333"/>
                <w:spacing w:val="0"/>
                <w:kern w:val="2"/>
                <w:sz w:val="21"/>
                <w:szCs w:val="21"/>
                <w:lang w:val="en-US" w:eastAsia="zh-CN" w:bidi="ar"/>
              </w:rPr>
              <w:t>构代码证或证照合一的营业执照；</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宋体" w:hAnsi="宋体" w:eastAsia="宋体" w:cs="宋体"/>
                <w:b/>
                <w:bCs w:val="0"/>
                <w:i w:val="0"/>
                <w:iCs w:val="0"/>
                <w:caps w:val="0"/>
                <w:color w:val="333333"/>
                <w:spacing w:val="0"/>
                <w:kern w:val="2"/>
                <w:sz w:val="21"/>
                <w:szCs w:val="21"/>
                <w:lang w:val="en-US" w:eastAsia="zh-CN" w:bidi="ar"/>
              </w:rPr>
            </w:pPr>
            <w:r>
              <w:rPr>
                <w:rFonts w:hint="eastAsia" w:ascii="宋体" w:hAnsi="宋体" w:eastAsia="宋体" w:cs="宋体"/>
                <w:b/>
                <w:bCs w:val="0"/>
                <w:i w:val="0"/>
                <w:iCs w:val="0"/>
                <w:caps w:val="0"/>
                <w:color w:val="333333"/>
                <w:spacing w:val="0"/>
                <w:kern w:val="2"/>
                <w:sz w:val="21"/>
                <w:szCs w:val="21"/>
                <w:lang w:val="en-US" w:eastAsia="zh-CN" w:bidi="ar"/>
              </w:rPr>
              <w:t>2）投标人为分公司的，应具有合法有效</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宋体" w:hAnsi="宋体" w:eastAsia="宋体" w:cs="宋体"/>
                <w:b/>
                <w:bCs w:val="0"/>
                <w:i w:val="0"/>
                <w:iCs w:val="0"/>
                <w:caps w:val="0"/>
                <w:color w:val="333333"/>
                <w:spacing w:val="0"/>
                <w:kern w:val="2"/>
                <w:sz w:val="21"/>
                <w:szCs w:val="21"/>
                <w:lang w:val="en-US" w:eastAsia="zh-CN" w:bidi="ar"/>
              </w:rPr>
            </w:pPr>
            <w:r>
              <w:rPr>
                <w:rFonts w:hint="eastAsia" w:ascii="宋体" w:hAnsi="宋体" w:eastAsia="宋体" w:cs="宋体"/>
                <w:b/>
                <w:bCs w:val="0"/>
                <w:i w:val="0"/>
                <w:iCs w:val="0"/>
                <w:caps w:val="0"/>
                <w:color w:val="333333"/>
                <w:spacing w:val="0"/>
                <w:kern w:val="2"/>
                <w:sz w:val="21"/>
                <w:szCs w:val="21"/>
                <w:lang w:val="en-US" w:eastAsia="zh-CN" w:bidi="ar"/>
              </w:rPr>
              <w:t>的营业执照、税务登记证及组织机构代码</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宋体" w:hAnsi="宋体" w:eastAsia="宋体" w:cs="宋体"/>
                <w:b/>
                <w:bCs w:val="0"/>
                <w:i w:val="0"/>
                <w:iCs w:val="0"/>
                <w:caps w:val="0"/>
                <w:color w:val="333333"/>
                <w:spacing w:val="0"/>
                <w:kern w:val="2"/>
                <w:sz w:val="21"/>
                <w:szCs w:val="21"/>
                <w:lang w:val="en-US" w:eastAsia="zh-CN" w:bidi="ar"/>
              </w:rPr>
            </w:pPr>
            <w:r>
              <w:rPr>
                <w:rFonts w:hint="eastAsia" w:ascii="宋体" w:hAnsi="宋体" w:eastAsia="宋体" w:cs="宋体"/>
                <w:b/>
                <w:bCs w:val="0"/>
                <w:i w:val="0"/>
                <w:iCs w:val="0"/>
                <w:caps w:val="0"/>
                <w:color w:val="333333"/>
                <w:spacing w:val="0"/>
                <w:kern w:val="2"/>
                <w:sz w:val="21"/>
                <w:szCs w:val="21"/>
                <w:lang w:val="en-US" w:eastAsia="zh-CN" w:bidi="ar"/>
              </w:rPr>
              <w:t>证或证照合一的营业执照和总公司合法授</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宋体" w:hAnsi="宋体" w:eastAsia="宋体" w:cs="宋体"/>
                <w:b/>
                <w:bCs w:val="0"/>
                <w:i w:val="0"/>
                <w:iCs w:val="0"/>
                <w:caps w:val="0"/>
                <w:color w:val="333333"/>
                <w:spacing w:val="0"/>
                <w:kern w:val="2"/>
                <w:sz w:val="21"/>
                <w:szCs w:val="21"/>
                <w:lang w:val="en-US" w:eastAsia="zh-CN" w:bidi="ar"/>
              </w:rPr>
            </w:pPr>
            <w:r>
              <w:rPr>
                <w:rFonts w:hint="eastAsia" w:ascii="宋体" w:hAnsi="宋体" w:eastAsia="宋体" w:cs="宋体"/>
                <w:b/>
                <w:bCs w:val="0"/>
                <w:i w:val="0"/>
                <w:iCs w:val="0"/>
                <w:caps w:val="0"/>
                <w:color w:val="333333"/>
                <w:spacing w:val="0"/>
                <w:kern w:val="2"/>
                <w:sz w:val="21"/>
                <w:szCs w:val="21"/>
                <w:lang w:val="en-US" w:eastAsia="zh-CN" w:bidi="ar"/>
              </w:rPr>
              <w:t>权书。总公司与分支机构只可一家参与投</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lang w:val="en-US" w:eastAsia="zh-CN"/>
              </w:rPr>
            </w:pPr>
            <w:r>
              <w:rPr>
                <w:rFonts w:hint="eastAsia" w:ascii="宋体" w:hAnsi="宋体" w:eastAsia="宋体" w:cs="宋体"/>
                <w:b/>
                <w:bCs w:val="0"/>
                <w:i w:val="0"/>
                <w:iCs w:val="0"/>
                <w:caps w:val="0"/>
                <w:color w:val="333333"/>
                <w:spacing w:val="0"/>
                <w:kern w:val="2"/>
                <w:sz w:val="21"/>
                <w:szCs w:val="21"/>
                <w:lang w:val="en-US" w:eastAsia="zh-CN" w:bidi="ar"/>
              </w:rPr>
              <w:t xml:space="preserve">标，同时参与投标视为投标无效。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宋体" w:hAnsi="宋体" w:eastAsia="宋体" w:cs="宋体"/>
                <w:b/>
                <w:bCs w:val="0"/>
                <w:i w:val="0"/>
                <w:iCs w:val="0"/>
                <w:caps w:val="0"/>
                <w:color w:val="333333"/>
                <w:spacing w:val="0"/>
                <w:kern w:val="2"/>
                <w:sz w:val="21"/>
                <w:szCs w:val="21"/>
                <w:lang w:val="en-US" w:eastAsia="zh-CN" w:bidi="ar"/>
              </w:rPr>
            </w:pPr>
          </w:p>
        </w:tc>
        <w:tc>
          <w:tcPr>
            <w:tcW w:w="1328" w:type="dxa"/>
            <w:vMerge w:val="restart"/>
            <w:tcBorders>
              <w:top w:val="single" w:color="auto" w:sz="4" w:space="0"/>
              <w:left w:val="nil"/>
              <w:right w:val="single" w:color="auto" w:sz="4"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宋体" w:hAnsi="宋体" w:eastAsia="宋体" w:cs="宋体"/>
                <w:b/>
                <w:bCs w:val="0"/>
                <w:i w:val="0"/>
                <w:iCs w:val="0"/>
                <w:caps w:val="0"/>
                <w:color w:val="333333"/>
                <w:spacing w:val="0"/>
                <w:kern w:val="2"/>
                <w:sz w:val="21"/>
                <w:szCs w:val="21"/>
                <w:lang w:val="en-US" w:eastAsia="zh-CN" w:bidi="ar"/>
              </w:rPr>
            </w:pPr>
            <w:r>
              <w:rPr>
                <w:rFonts w:hint="eastAsia" w:ascii="宋体" w:hAnsi="宋体" w:eastAsia="宋体" w:cs="宋体"/>
                <w:b/>
                <w:bCs w:val="0"/>
                <w:i w:val="0"/>
                <w:iCs w:val="0"/>
                <w:caps w:val="0"/>
                <w:color w:val="333333"/>
                <w:spacing w:val="0"/>
                <w:kern w:val="2"/>
                <w:sz w:val="21"/>
                <w:szCs w:val="21"/>
                <w:lang w:val="en-US" w:eastAsia="zh-CN" w:bidi="ar"/>
              </w:rPr>
              <w:t>反馈时请提供材料！！！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206" w:hRule="atLeast"/>
        </w:trPr>
        <w:tc>
          <w:tcPr>
            <w:tcW w:w="568" w:type="dxa"/>
            <w:vMerge w:val="continue"/>
            <w:tcBorders>
              <w:left w:val="single" w:color="auto" w:sz="4" w:space="0"/>
              <w:right w:val="single" w:color="auto" w:sz="4"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p>
        </w:tc>
        <w:tc>
          <w:tcPr>
            <w:tcW w:w="786" w:type="dxa"/>
            <w:vMerge w:val="continue"/>
            <w:tcBorders>
              <w:left w:val="nil"/>
              <w:right w:val="single" w:color="auto" w:sz="4"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p>
        </w:tc>
        <w:tc>
          <w:tcPr>
            <w:tcW w:w="1283" w:type="dxa"/>
            <w:vMerge w:val="continue"/>
            <w:tcBorders>
              <w:left w:val="nil"/>
              <w:right w:val="single" w:color="auto" w:sz="4"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p>
        </w:tc>
        <w:tc>
          <w:tcPr>
            <w:tcW w:w="1017" w:type="dxa"/>
            <w:vMerge w:val="continue"/>
            <w:tcBorders>
              <w:left w:val="nil"/>
              <w:right w:val="single" w:color="auto" w:sz="4"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p>
        </w:tc>
        <w:tc>
          <w:tcPr>
            <w:tcW w:w="425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宋体" w:hAnsi="宋体" w:eastAsia="宋体" w:cs="宋体"/>
                <w:b/>
                <w:bCs w:val="0"/>
                <w:i w:val="0"/>
                <w:iCs w:val="0"/>
                <w:caps w:val="0"/>
                <w:color w:val="333333"/>
                <w:spacing w:val="0"/>
                <w:kern w:val="2"/>
                <w:sz w:val="21"/>
                <w:szCs w:val="21"/>
                <w:lang w:val="en-US" w:eastAsia="zh-CN" w:bidi="ar"/>
              </w:rPr>
            </w:pPr>
            <w:r>
              <w:rPr>
                <w:rFonts w:hint="eastAsia" w:ascii="宋体" w:hAnsi="宋体" w:eastAsia="宋体" w:cs="宋体"/>
                <w:b/>
                <w:bCs w:val="0"/>
                <w:i w:val="0"/>
                <w:iCs w:val="0"/>
                <w:caps w:val="0"/>
                <w:color w:val="333333"/>
                <w:spacing w:val="0"/>
                <w:kern w:val="2"/>
                <w:sz w:val="21"/>
                <w:szCs w:val="21"/>
                <w:lang w:val="en-US" w:eastAsia="zh-CN" w:bidi="ar"/>
              </w:rPr>
              <w:t>(2)★业绩要求：</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宋体" w:hAnsi="宋体" w:eastAsia="宋体" w:cs="宋体"/>
                <w:b/>
                <w:bCs w:val="0"/>
                <w:i w:val="0"/>
                <w:iCs w:val="0"/>
                <w:caps w:val="0"/>
                <w:color w:val="333333"/>
                <w:spacing w:val="0"/>
                <w:kern w:val="2"/>
                <w:sz w:val="21"/>
                <w:szCs w:val="21"/>
                <w:lang w:val="en-US" w:eastAsia="zh-CN" w:bidi="ar"/>
              </w:rPr>
            </w:pPr>
            <w:r>
              <w:rPr>
                <w:rFonts w:hint="default" w:ascii="宋体" w:hAnsi="宋体" w:eastAsia="宋体" w:cs="宋体"/>
                <w:b/>
                <w:bCs w:val="0"/>
                <w:i w:val="0"/>
                <w:iCs w:val="0"/>
                <w:caps w:val="0"/>
                <w:color w:val="333333"/>
                <w:spacing w:val="0"/>
                <w:kern w:val="2"/>
                <w:sz w:val="21"/>
                <w:szCs w:val="21"/>
                <w:lang w:val="en-US" w:eastAsia="zh-CN" w:bidi="ar"/>
              </w:rPr>
              <w:t>投标人在2023年1月1日至投标截止日（以合同签署时间为准），投标人应具有1个合同的以下服务业绩之一（合同结算金额不低于含税200万元人民币）：1）工业水处理服务业绩2）循环水处理服务业绩3）中水处理服务业绩4）双膜处理服务业绩5）脱/除盐水处理服务业绩6）污水处理（不含市政、生活类）服务业绩。</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宋体" w:hAnsi="宋体" w:eastAsia="宋体" w:cs="宋体"/>
                <w:b/>
                <w:bCs w:val="0"/>
                <w:i w:val="0"/>
                <w:iCs w:val="0"/>
                <w:caps w:val="0"/>
                <w:color w:val="333333"/>
                <w:spacing w:val="0"/>
                <w:kern w:val="2"/>
                <w:sz w:val="21"/>
                <w:szCs w:val="21"/>
                <w:lang w:val="en-US" w:eastAsia="zh-CN" w:bidi="ar"/>
              </w:rPr>
            </w:pPr>
            <w:r>
              <w:rPr>
                <w:rFonts w:hint="default" w:ascii="宋体" w:hAnsi="宋体" w:eastAsia="宋体" w:cs="宋体"/>
                <w:b/>
                <w:bCs w:val="0"/>
                <w:i w:val="0"/>
                <w:iCs w:val="0"/>
                <w:caps w:val="0"/>
                <w:color w:val="333333"/>
                <w:spacing w:val="0"/>
                <w:kern w:val="2"/>
                <w:sz w:val="21"/>
                <w:szCs w:val="21"/>
                <w:lang w:val="en-US" w:eastAsia="zh-CN" w:bidi="ar"/>
              </w:rPr>
              <w:t>2、投标人须提交业绩表，并提交相关业绩证明文件。业绩证明文件包括：（1）若业绩合同为总价合同，需同时提供以下内容：1）合同，至少体现以下内容：合同签订日期、合同签署页（具有双方签署或盖章）、服务名称/服务内容；2）能体现服务验收金额在含税200万元以上的证明材料。（2）若业绩合同为非总价合同，需同时提供以下内容：1）合同，至少体现以下内容：合同签订日期、合同签署页（具有双方签署或盖章）、服务内容；2）与合同相关联的订单或工作量确认单；3）与上述订单或工作量确认单对应的能体验服务验收金额在含税200万元以上的证明材料。若服务验收证明材料中的相关信息能清晰证明其与合同的关联性，则无需提供上述订单或工作量确认单；4）同一个非总价合同下提供1个或以上的订单（或工作量确认单）及与订单（或工作量确认单）对应的服务验收证明材料只算为1个有效业绩。</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宋体" w:hAnsi="宋体" w:eastAsia="宋体" w:cs="宋体"/>
                <w:b/>
                <w:bCs w:val="0"/>
                <w:i w:val="0"/>
                <w:iCs w:val="0"/>
                <w:caps w:val="0"/>
                <w:color w:val="333333"/>
                <w:spacing w:val="0"/>
                <w:kern w:val="2"/>
                <w:sz w:val="21"/>
                <w:szCs w:val="21"/>
                <w:lang w:val="en-US" w:eastAsia="zh-CN" w:bidi="ar"/>
              </w:rPr>
            </w:pPr>
            <w:r>
              <w:rPr>
                <w:rFonts w:hint="default" w:ascii="宋体" w:hAnsi="宋体" w:eastAsia="宋体" w:cs="宋体"/>
                <w:b/>
                <w:bCs w:val="0"/>
                <w:i w:val="0"/>
                <w:iCs w:val="0"/>
                <w:caps w:val="0"/>
                <w:color w:val="333333"/>
                <w:spacing w:val="0"/>
                <w:kern w:val="2"/>
                <w:sz w:val="21"/>
                <w:szCs w:val="21"/>
                <w:lang w:val="en-US" w:eastAsia="zh-CN" w:bidi="ar"/>
              </w:rPr>
              <w:t>3、未提交业绩证明文件，或通过所提供的业绩证明文件无法认定满足上述业绩要求的，均视为无效业绩。</w:t>
            </w:r>
          </w:p>
        </w:tc>
        <w:tc>
          <w:tcPr>
            <w:tcW w:w="1328" w:type="dxa"/>
            <w:vMerge w:val="continue"/>
            <w:tcBorders>
              <w:left w:val="nil"/>
              <w:right w:val="single" w:color="auto" w:sz="4"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宋体" w:hAnsi="宋体" w:eastAsia="宋体" w:cs="宋体"/>
                <w:b/>
                <w:bCs w:val="0"/>
                <w:i w:val="0"/>
                <w:iCs w:val="0"/>
                <w:caps w:val="0"/>
                <w:color w:val="333333"/>
                <w:spacing w:val="0"/>
                <w:kern w:val="2"/>
                <w:sz w:val="21"/>
                <w:szCs w:val="21"/>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1045" w:hRule="atLeast"/>
        </w:trPr>
        <w:tc>
          <w:tcPr>
            <w:tcW w:w="568" w:type="dxa"/>
            <w:vMerge w:val="continue"/>
            <w:tcBorders>
              <w:left w:val="single" w:color="auto" w:sz="4" w:space="0"/>
              <w:right w:val="single" w:color="auto" w:sz="4"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宋体" w:hAnsi="宋体" w:eastAsia="宋体" w:cs="宋体"/>
                <w:b/>
                <w:bCs w:val="0"/>
                <w:sz w:val="21"/>
                <w:szCs w:val="21"/>
              </w:rPr>
            </w:pPr>
          </w:p>
        </w:tc>
        <w:tc>
          <w:tcPr>
            <w:tcW w:w="786" w:type="dxa"/>
            <w:vMerge w:val="continue"/>
            <w:tcBorders>
              <w:left w:val="nil"/>
              <w:right w:val="single" w:color="auto" w:sz="4"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宋体" w:hAnsi="宋体" w:eastAsia="宋体" w:cs="宋体"/>
                <w:b/>
                <w:bCs w:val="0"/>
                <w:sz w:val="21"/>
                <w:szCs w:val="21"/>
              </w:rPr>
            </w:pPr>
          </w:p>
        </w:tc>
        <w:tc>
          <w:tcPr>
            <w:tcW w:w="1283" w:type="dxa"/>
            <w:vMerge w:val="continue"/>
            <w:tcBorders>
              <w:left w:val="nil"/>
              <w:right w:val="single" w:color="auto" w:sz="4"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宋体" w:hAnsi="宋体" w:eastAsia="宋体" w:cs="宋体"/>
                <w:b/>
                <w:bCs w:val="0"/>
                <w:sz w:val="21"/>
                <w:szCs w:val="21"/>
              </w:rPr>
            </w:pPr>
          </w:p>
        </w:tc>
        <w:tc>
          <w:tcPr>
            <w:tcW w:w="1017" w:type="dxa"/>
            <w:vMerge w:val="continue"/>
            <w:tcBorders>
              <w:left w:val="nil"/>
              <w:right w:val="single" w:color="auto" w:sz="4"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宋体" w:hAnsi="宋体" w:eastAsia="宋体" w:cs="宋体"/>
                <w:b/>
                <w:bCs w:val="0"/>
                <w:i w:val="0"/>
                <w:iCs w:val="0"/>
                <w:caps w:val="0"/>
                <w:color w:val="333333"/>
                <w:spacing w:val="0"/>
                <w:kern w:val="2"/>
                <w:sz w:val="21"/>
                <w:szCs w:val="21"/>
                <w:lang w:val="en-US" w:eastAsia="zh-CN" w:bidi="ar"/>
              </w:rPr>
            </w:pPr>
          </w:p>
        </w:tc>
        <w:tc>
          <w:tcPr>
            <w:tcW w:w="425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b/>
                <w:bCs/>
                <w:lang w:val="en-US" w:eastAsia="zh-CN"/>
              </w:rPr>
            </w:pPr>
            <w:r>
              <w:rPr>
                <w:rFonts w:hint="eastAsia"/>
                <w:b/>
                <w:bCs/>
                <w:lang w:val="en-US" w:eastAsia="zh-CN"/>
              </w:rPr>
              <w:t>（3）信誉要求：</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b/>
                <w:bCs/>
                <w:lang w:val="en-US" w:eastAsia="zh-CN"/>
              </w:rPr>
            </w:pPr>
            <w:r>
              <w:rPr>
                <w:rFonts w:hint="eastAsia"/>
                <w:b/>
                <w:bCs/>
                <w:lang w:val="en-US" w:eastAsia="zh-CN"/>
              </w:rPr>
              <w:t>A、应答人不得是最高人民法院在“信用中国”网站（</w:t>
            </w:r>
            <w:r>
              <w:rPr>
                <w:rFonts w:hint="eastAsia"/>
                <w:b/>
                <w:bCs/>
                <w:lang w:val="en-US" w:eastAsia="zh-CN"/>
              </w:rPr>
              <w:fldChar w:fldCharType="begin"/>
            </w:r>
            <w:r>
              <w:rPr>
                <w:rFonts w:hint="eastAsia"/>
                <w:b/>
                <w:bCs/>
                <w:lang w:val="en-US" w:eastAsia="zh-CN"/>
              </w:rPr>
              <w:instrText xml:space="preserve"> HYPERLINK "http://www.creditchina.gov.cn）或" </w:instrText>
            </w:r>
            <w:r>
              <w:rPr>
                <w:rFonts w:hint="eastAsia"/>
                <w:b/>
                <w:bCs/>
                <w:lang w:val="en-US" w:eastAsia="zh-CN"/>
              </w:rPr>
              <w:fldChar w:fldCharType="separate"/>
            </w:r>
            <w:r>
              <w:rPr>
                <w:rFonts w:hint="eastAsia"/>
                <w:b/>
                <w:bCs/>
                <w:lang w:val="en-US" w:eastAsia="zh-CN"/>
              </w:rPr>
              <w:t>www.creditchina.gov.cn）或“中国执行信息公开网</w:t>
            </w:r>
            <w:r>
              <w:rPr>
                <w:rFonts w:hint="eastAsia"/>
                <w:b/>
                <w:bCs/>
                <w:lang w:val="en-US" w:eastAsia="zh-CN"/>
              </w:rPr>
              <w:fldChar w:fldCharType="end"/>
            </w:r>
            <w:r>
              <w:rPr>
                <w:rFonts w:hint="eastAsia"/>
                <w:b/>
                <w:bCs/>
                <w:lang w:val="en-US" w:eastAsia="zh-CN"/>
              </w:rPr>
              <w:t>”（</w:t>
            </w:r>
            <w:r>
              <w:rPr>
                <w:rFonts w:hint="eastAsia"/>
                <w:b/>
                <w:bCs/>
                <w:lang w:val="en-US" w:eastAsia="zh-CN"/>
              </w:rPr>
              <w:fldChar w:fldCharType="begin"/>
            </w:r>
            <w:r>
              <w:rPr>
                <w:rFonts w:hint="eastAsia"/>
                <w:b/>
                <w:bCs/>
                <w:lang w:val="en-US" w:eastAsia="zh-CN"/>
              </w:rPr>
              <w:instrText xml:space="preserve"> HYPERLINK "http://zxgk.court.gov.cn/）列入失信被执行人名单（应附查询结果复印件并加盖单位章" </w:instrText>
            </w:r>
            <w:r>
              <w:rPr>
                <w:rFonts w:hint="eastAsia"/>
                <w:b/>
                <w:bCs/>
                <w:lang w:val="en-US" w:eastAsia="zh-CN"/>
              </w:rPr>
              <w:fldChar w:fldCharType="separate"/>
            </w:r>
            <w:r>
              <w:rPr>
                <w:rFonts w:hint="eastAsia"/>
                <w:b/>
                <w:bCs/>
                <w:lang w:val="en-US" w:eastAsia="zh-CN"/>
              </w:rPr>
              <w:t>http://zxgk.court.gov.cn/）列入失信被执行人名单（应附查询结果复印件并加盖单位章</w:t>
            </w:r>
            <w:r>
              <w:rPr>
                <w:rFonts w:hint="eastAsia"/>
                <w:b/>
                <w:bCs/>
                <w:lang w:val="en-US" w:eastAsia="zh-CN"/>
              </w:rPr>
              <w:fldChar w:fldCharType="end"/>
            </w:r>
            <w:r>
              <w:rPr>
                <w:rFonts w:hint="eastAsia"/>
                <w:b/>
                <w:bCs/>
                <w:lang w:val="en-US" w:eastAsia="zh-CN"/>
              </w:rPr>
              <w:t>）；</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b/>
                <w:bCs/>
                <w:lang w:val="en-US" w:eastAsia="zh-CN"/>
              </w:rPr>
            </w:pPr>
            <w:r>
              <w:rPr>
                <w:rFonts w:hint="eastAsia"/>
                <w:b/>
                <w:bCs/>
                <w:lang w:val="en-US" w:eastAsia="zh-CN"/>
              </w:rPr>
              <w:t>2.近3年（2023年1月1日-报价截止日前）内应答人或其法定代表人、拟委任的项目负责人不得有行贿犯罪行为（应附查询结果复印件并加盖单位章，查询网站为“中国裁判文书网”http://wenshu.court.gov.cn）；</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b/>
                <w:bCs/>
                <w:lang w:val="en-US" w:eastAsia="zh-CN"/>
              </w:rPr>
            </w:pPr>
            <w:r>
              <w:rPr>
                <w:rFonts w:hint="eastAsia"/>
                <w:b/>
                <w:bCs/>
                <w:lang w:val="en-US" w:eastAsia="zh-CN"/>
              </w:rPr>
              <w:t>3.应答人不得被工商行政管理机关在全国企业信用信息公示系统（http://www.gsxt.gov.cn）中列入严重违法失信企业名单（应附查询结果复印件并加盖单位章）；</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b/>
                <w:bCs/>
                <w:lang w:val="en-US" w:eastAsia="zh-CN"/>
              </w:rPr>
            </w:pPr>
            <w:r>
              <w:rPr>
                <w:rFonts w:hint="eastAsia"/>
                <w:b/>
                <w:bCs/>
                <w:lang w:val="en-US" w:eastAsia="zh-CN"/>
              </w:rPr>
              <w:t>4.应答人与本采购项目其他应答人不得存在控股关系或管理关系、单位负责人为同一人的情形。</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b/>
                <w:bCs/>
                <w:lang w:val="en-US" w:eastAsia="zh-CN"/>
              </w:rPr>
            </w:pPr>
            <w:r>
              <w:rPr>
                <w:rFonts w:hint="eastAsia"/>
                <w:b/>
                <w:bCs/>
                <w:lang w:val="en-US" w:eastAsia="zh-CN"/>
              </w:rPr>
              <w:t>5.应答人在《中国海洋石油集团有限公司采办业务管理与交易系统》填报供应商注册信息，并在注册审核通过后，方可具备参与采办业务的基本资格，未通过注册审核的应答人应答均视为无效。</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b/>
                <w:bCs/>
                <w:lang w:val="en-US" w:eastAsia="zh-CN"/>
              </w:rPr>
            </w:pPr>
            <w:r>
              <w:rPr>
                <w:rFonts w:hint="eastAsia"/>
                <w:b/>
                <w:bCs/>
                <w:lang w:val="en-US" w:eastAsia="zh-CN"/>
              </w:rPr>
              <w:t>6.应答人应在应答文件中提供其公司章程或其他能够体现出资人、股东信息的法定文件，作为评标/评审时的依据。</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b/>
                <w:bCs/>
                <w:lang w:val="en-US" w:eastAsia="zh-CN"/>
              </w:rPr>
            </w:pPr>
            <w:r>
              <w:rPr>
                <w:rFonts w:hint="eastAsia"/>
                <w:b/>
                <w:bCs/>
                <w:lang w:val="en-US" w:eastAsia="zh-CN"/>
              </w:rPr>
              <w:t>7.应答人承诺：中国海油在职员工（不含正式派出的）未有在投标人单位担任股东、法人代表、董事、监事和其他任职人员的情形。</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b/>
                <w:bCs/>
                <w:lang w:val="en-US" w:eastAsia="zh-CN"/>
              </w:rPr>
            </w:pPr>
            <w:r>
              <w:rPr>
                <w:rFonts w:hint="eastAsia"/>
                <w:b/>
                <w:bCs/>
                <w:lang w:val="en-US" w:eastAsia="zh-CN"/>
              </w:rPr>
              <w:t>8.应答人承诺：与本采购项目其他应答人不存在控股关系或管理关系、单位负责人为同一人的情形。</w:t>
            </w:r>
          </w:p>
          <w:p>
            <w:pPr>
              <w:pStyle w:val="7"/>
              <w:ind w:firstLine="211" w:firstLineChars="100"/>
              <w:rPr>
                <w:rFonts w:hint="eastAsia" w:ascii="宋体" w:hAnsi="宋体" w:eastAsia="宋体" w:cs="宋体"/>
                <w:b/>
                <w:bCs w:val="0"/>
                <w:i w:val="0"/>
                <w:iCs w:val="0"/>
                <w:caps w:val="0"/>
                <w:color w:val="333333"/>
                <w:spacing w:val="0"/>
                <w:kern w:val="2"/>
                <w:sz w:val="21"/>
                <w:szCs w:val="21"/>
                <w:lang w:val="en-US" w:eastAsia="zh-CN" w:bidi="ar"/>
              </w:rPr>
            </w:pPr>
            <w:r>
              <w:rPr>
                <w:rFonts w:hint="eastAsia" w:ascii="宋体" w:hAnsi="宋体" w:eastAsia="宋体" w:cs="宋体"/>
                <w:b/>
                <w:bCs w:val="0"/>
                <w:i w:val="0"/>
                <w:iCs w:val="0"/>
                <w:caps w:val="0"/>
                <w:color w:val="333333"/>
                <w:spacing w:val="0"/>
                <w:kern w:val="2"/>
                <w:sz w:val="21"/>
                <w:szCs w:val="21"/>
                <w:lang w:val="en-US" w:eastAsia="zh-CN" w:bidi="ar"/>
              </w:rPr>
              <w:t>提供《承诺书》及相应截图！！！</w:t>
            </w:r>
          </w:p>
        </w:tc>
        <w:tc>
          <w:tcPr>
            <w:tcW w:w="1328" w:type="dxa"/>
            <w:vMerge w:val="continue"/>
            <w:tcBorders>
              <w:left w:val="nil"/>
              <w:right w:val="single" w:color="auto" w:sz="4"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宋体" w:hAnsi="宋体" w:eastAsia="宋体" w:cs="宋体"/>
                <w:b/>
                <w:bCs w:val="0"/>
                <w:i w:val="0"/>
                <w:iCs w:val="0"/>
                <w:caps w:val="0"/>
                <w:color w:val="333333"/>
                <w:spacing w:val="0"/>
                <w:kern w:val="2"/>
                <w:sz w:val="21"/>
                <w:szCs w:val="21"/>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88" w:hRule="atLeast"/>
        </w:trPr>
        <w:tc>
          <w:tcPr>
            <w:tcW w:w="568" w:type="dxa"/>
            <w:vMerge w:val="continue"/>
            <w:tcBorders>
              <w:left w:val="single" w:color="auto" w:sz="4" w:space="0"/>
              <w:right w:val="single" w:color="auto" w:sz="4"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宋体" w:hAnsi="宋体" w:eastAsia="宋体" w:cs="宋体"/>
                <w:b/>
                <w:bCs w:val="0"/>
                <w:i w:val="0"/>
                <w:iCs w:val="0"/>
                <w:caps w:val="0"/>
                <w:color w:val="333333"/>
                <w:spacing w:val="0"/>
                <w:kern w:val="2"/>
                <w:sz w:val="21"/>
                <w:szCs w:val="21"/>
                <w:lang w:val="en-US" w:eastAsia="zh-CN" w:bidi="ar"/>
              </w:rPr>
            </w:pPr>
          </w:p>
        </w:tc>
        <w:tc>
          <w:tcPr>
            <w:tcW w:w="786" w:type="dxa"/>
            <w:vMerge w:val="continue"/>
            <w:tcBorders>
              <w:left w:val="nil"/>
              <w:right w:val="single" w:color="auto" w:sz="4"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宋体" w:hAnsi="宋体" w:eastAsia="宋体" w:cs="宋体"/>
                <w:b/>
                <w:bCs w:val="0"/>
                <w:i w:val="0"/>
                <w:iCs w:val="0"/>
                <w:caps w:val="0"/>
                <w:color w:val="333333"/>
                <w:spacing w:val="0"/>
                <w:kern w:val="2"/>
                <w:sz w:val="21"/>
                <w:szCs w:val="21"/>
                <w:lang w:val="en-US" w:eastAsia="zh-CN" w:bidi="ar"/>
              </w:rPr>
            </w:pPr>
          </w:p>
        </w:tc>
        <w:tc>
          <w:tcPr>
            <w:tcW w:w="1283" w:type="dxa"/>
            <w:vMerge w:val="continue"/>
            <w:tcBorders>
              <w:left w:val="nil"/>
              <w:right w:val="single" w:color="auto" w:sz="4"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宋体" w:hAnsi="宋体" w:eastAsia="宋体" w:cs="宋体"/>
                <w:b/>
                <w:bCs w:val="0"/>
                <w:i w:val="0"/>
                <w:iCs w:val="0"/>
                <w:caps w:val="0"/>
                <w:color w:val="333333"/>
                <w:spacing w:val="0"/>
                <w:kern w:val="2"/>
                <w:sz w:val="21"/>
                <w:szCs w:val="21"/>
                <w:lang w:val="en-US" w:eastAsia="zh-CN" w:bidi="ar"/>
              </w:rPr>
            </w:pPr>
          </w:p>
        </w:tc>
        <w:tc>
          <w:tcPr>
            <w:tcW w:w="1017" w:type="dxa"/>
            <w:vMerge w:val="continue"/>
            <w:tcBorders>
              <w:left w:val="nil"/>
              <w:right w:val="single" w:color="auto" w:sz="4"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宋体" w:hAnsi="宋体" w:eastAsia="宋体" w:cs="宋体"/>
                <w:b/>
                <w:bCs w:val="0"/>
                <w:i w:val="0"/>
                <w:iCs w:val="0"/>
                <w:caps w:val="0"/>
                <w:color w:val="333333"/>
                <w:spacing w:val="0"/>
                <w:kern w:val="2"/>
                <w:sz w:val="21"/>
                <w:szCs w:val="21"/>
                <w:lang w:val="en-US" w:eastAsia="zh-CN" w:bidi="ar"/>
              </w:rPr>
            </w:pPr>
          </w:p>
        </w:tc>
        <w:tc>
          <w:tcPr>
            <w:tcW w:w="425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宋体" w:hAnsi="宋体" w:eastAsia="宋体" w:cs="宋体"/>
                <w:b/>
                <w:bCs w:val="0"/>
                <w:i w:val="0"/>
                <w:iCs w:val="0"/>
                <w:caps w:val="0"/>
                <w:color w:val="333333"/>
                <w:spacing w:val="0"/>
                <w:kern w:val="2"/>
                <w:sz w:val="21"/>
                <w:szCs w:val="21"/>
                <w:lang w:val="en-US" w:eastAsia="zh-CN" w:bidi="ar"/>
              </w:rPr>
            </w:pPr>
            <w:r>
              <w:rPr>
                <w:rFonts w:hint="eastAsia" w:ascii="宋体" w:hAnsi="宋体" w:eastAsia="宋体" w:cs="宋体"/>
                <w:b/>
                <w:bCs w:val="0"/>
                <w:kern w:val="0"/>
                <w:sz w:val="21"/>
                <w:szCs w:val="21"/>
                <w:lang w:val="en-US" w:eastAsia="zh-CN" w:bidi="ar-SA"/>
              </w:rPr>
              <w:t>（4）</w:t>
            </w:r>
            <w:r>
              <w:rPr>
                <w:rFonts w:hint="eastAsia" w:ascii="宋体" w:hAnsi="宋体" w:eastAsia="宋体" w:cs="宋体"/>
                <w:b/>
                <w:bCs/>
                <w:color w:val="333333"/>
                <w:spacing w:val="0"/>
                <w:kern w:val="0"/>
                <w:sz w:val="21"/>
                <w:szCs w:val="21"/>
                <w:lang w:val="en-US" w:eastAsia="zh-CN" w:bidi="ar"/>
              </w:rPr>
              <w:t>★</w:t>
            </w:r>
            <w:r>
              <w:rPr>
                <w:rFonts w:hint="eastAsia" w:ascii="宋体" w:hAnsi="宋体" w:eastAsia="宋体" w:cs="宋体"/>
                <w:b/>
                <w:bCs w:val="0"/>
                <w:i w:val="0"/>
                <w:iCs w:val="0"/>
                <w:caps w:val="0"/>
                <w:color w:val="333333"/>
                <w:spacing w:val="0"/>
                <w:kern w:val="2"/>
                <w:sz w:val="21"/>
                <w:szCs w:val="21"/>
                <w:lang w:val="en-US" w:eastAsia="zh-CN" w:bidi="ar"/>
              </w:rPr>
              <w:t>服务商要求*</w:t>
            </w:r>
            <w:r>
              <w:rPr>
                <w:rFonts w:hint="eastAsia" w:ascii="宋体" w:hAnsi="宋体" w:eastAsia="宋体" w:cs="宋体"/>
                <w:b/>
                <w:bCs w:val="0"/>
                <w:i w:val="0"/>
                <w:iCs w:val="0"/>
                <w:caps w:val="0"/>
                <w:color w:val="333333"/>
                <w:spacing w:val="0"/>
                <w:kern w:val="2"/>
                <w:sz w:val="21"/>
                <w:szCs w:val="21"/>
                <w:lang w:val="en-US" w:eastAsia="zh-CN" w:bidi="ar"/>
              </w:rPr>
              <w:br w:type="textWrapping"/>
            </w:r>
            <w:r>
              <w:rPr>
                <w:rFonts w:hint="eastAsia" w:ascii="宋体" w:hAnsi="宋体" w:eastAsia="宋体" w:cs="宋体"/>
                <w:b/>
                <w:bCs w:val="0"/>
                <w:i w:val="0"/>
                <w:iCs w:val="0"/>
                <w:caps w:val="0"/>
                <w:color w:val="333333"/>
                <w:spacing w:val="0"/>
                <w:kern w:val="2"/>
                <w:sz w:val="21"/>
                <w:szCs w:val="21"/>
                <w:lang w:val="en-US" w:eastAsia="zh-CN" w:bidi="ar"/>
              </w:rPr>
              <w:t xml:space="preserve">   a) 承揽中国海油业务量需与其资质能力、财务状况、质量保障能力相匹配； </w:t>
            </w:r>
            <w:r>
              <w:rPr>
                <w:rFonts w:hint="eastAsia" w:ascii="宋体" w:hAnsi="宋体" w:eastAsia="宋体" w:cs="宋体"/>
                <w:b/>
                <w:bCs w:val="0"/>
                <w:i w:val="0"/>
                <w:iCs w:val="0"/>
                <w:caps w:val="0"/>
                <w:color w:val="333333"/>
                <w:spacing w:val="0"/>
                <w:kern w:val="2"/>
                <w:sz w:val="21"/>
                <w:szCs w:val="21"/>
                <w:lang w:val="en-US" w:eastAsia="zh-CN" w:bidi="ar"/>
              </w:rPr>
              <w:br w:type="textWrapping"/>
            </w:r>
            <w:r>
              <w:rPr>
                <w:rFonts w:hint="eastAsia" w:ascii="宋体" w:hAnsi="宋体" w:eastAsia="宋体" w:cs="宋体"/>
                <w:b/>
                <w:bCs w:val="0"/>
                <w:i w:val="0"/>
                <w:iCs w:val="0"/>
                <w:caps w:val="0"/>
                <w:color w:val="333333"/>
                <w:spacing w:val="0"/>
                <w:kern w:val="2"/>
                <w:sz w:val="21"/>
                <w:szCs w:val="21"/>
                <w:lang w:val="en-US" w:eastAsia="zh-CN" w:bidi="ar"/>
              </w:rPr>
              <w:t xml:space="preserve">   b) 员工缴纳社保人数不得为 0，须提供近三个月社保证明（退休返聘人员不计入自有社保人数，大学、事业单位可不提供）； </w:t>
            </w:r>
            <w:r>
              <w:rPr>
                <w:rFonts w:hint="eastAsia" w:ascii="宋体" w:hAnsi="宋体" w:eastAsia="宋体" w:cs="宋体"/>
                <w:b/>
                <w:bCs w:val="0"/>
                <w:i w:val="0"/>
                <w:iCs w:val="0"/>
                <w:caps w:val="0"/>
                <w:color w:val="333333"/>
                <w:spacing w:val="0"/>
                <w:kern w:val="2"/>
                <w:sz w:val="21"/>
                <w:szCs w:val="21"/>
                <w:lang w:val="en-US" w:eastAsia="zh-CN" w:bidi="ar"/>
              </w:rPr>
              <w:br w:type="textWrapping"/>
            </w:r>
            <w:r>
              <w:rPr>
                <w:rFonts w:hint="eastAsia" w:ascii="宋体" w:hAnsi="宋体" w:eastAsia="宋体" w:cs="宋体"/>
                <w:b/>
                <w:bCs w:val="0"/>
                <w:i w:val="0"/>
                <w:iCs w:val="0"/>
                <w:caps w:val="0"/>
                <w:color w:val="333333"/>
                <w:spacing w:val="0"/>
                <w:kern w:val="2"/>
                <w:sz w:val="21"/>
                <w:szCs w:val="21"/>
                <w:lang w:val="en-US" w:eastAsia="zh-CN" w:bidi="ar"/>
              </w:rPr>
              <w:t xml:space="preserve">   c) 不得将中国海油作为唯一服务客户，需出具非唯一服务客户的承诺及海油外业绩等支持性材料。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宋体" w:hAnsi="宋体" w:eastAsia="宋体" w:cs="宋体"/>
                <w:b/>
                <w:bCs w:val="0"/>
                <w:i w:val="0"/>
                <w:iCs w:val="0"/>
                <w:caps w:val="0"/>
                <w:color w:val="333333"/>
                <w:spacing w:val="0"/>
                <w:kern w:val="2"/>
                <w:sz w:val="21"/>
                <w:szCs w:val="21"/>
                <w:lang w:val="en-US" w:eastAsia="zh-CN" w:bidi="ar"/>
              </w:rPr>
            </w:pPr>
            <w:r>
              <w:rPr>
                <w:rFonts w:hint="eastAsia" w:ascii="宋体" w:hAnsi="宋体" w:eastAsia="宋体" w:cs="宋体"/>
                <w:b/>
                <w:bCs w:val="0"/>
                <w:i w:val="0"/>
                <w:iCs w:val="0"/>
                <w:caps w:val="0"/>
                <w:color w:val="333333"/>
                <w:spacing w:val="0"/>
                <w:kern w:val="2"/>
                <w:sz w:val="21"/>
                <w:szCs w:val="21"/>
                <w:lang w:val="en-US" w:eastAsia="zh-CN" w:bidi="ar"/>
              </w:rPr>
              <w:t>（5）★服务人员及社保要求：</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宋体" w:hAnsi="宋体" w:eastAsia="宋体" w:cs="宋体"/>
                <w:b/>
                <w:bCs w:val="0"/>
                <w:i w:val="0"/>
                <w:iCs w:val="0"/>
                <w:caps w:val="0"/>
                <w:color w:val="333333"/>
                <w:spacing w:val="0"/>
                <w:kern w:val="2"/>
                <w:sz w:val="21"/>
                <w:szCs w:val="21"/>
                <w:lang w:val="en-US" w:eastAsia="zh-CN" w:bidi="ar"/>
              </w:rPr>
            </w:pPr>
            <w:r>
              <w:rPr>
                <w:rFonts w:hint="eastAsia" w:ascii="宋体" w:hAnsi="宋体" w:eastAsia="宋体" w:cs="宋体"/>
                <w:b/>
                <w:bCs w:val="0"/>
                <w:i w:val="0"/>
                <w:iCs w:val="0"/>
                <w:caps w:val="0"/>
                <w:color w:val="333333"/>
                <w:spacing w:val="0"/>
                <w:kern w:val="2"/>
                <w:sz w:val="21"/>
                <w:szCs w:val="21"/>
                <w:lang w:val="en-US" w:eastAsia="zh-CN" w:bidi="ar"/>
              </w:rPr>
              <w:t>投标人须提供至少5人（至少包含1位水质分析工、2位污水处理工、2位水处理操作工）的人员清单（人员清单中至少包含姓名、身份证号、工种）以及由投标人缴纳的近6个月（2026年2月~2026年7月或2026年3月~2026年8月）的社保缴纳证明，社保缴纳证明必须由社保部门开具的或从社保网站打印的证明，证明中参保单位名称须与投标人单位名称一致（参保单位为投标人分公司的，视同为参保单位名称须与投标人单位名称一致）。上述资料中的人员信息应真实有效，前后一致，相关原件须留存备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宋体" w:hAnsi="宋体" w:eastAsia="宋体" w:cs="宋体"/>
                <w:b/>
                <w:bCs w:val="0"/>
                <w:i w:val="0"/>
                <w:iCs w:val="0"/>
                <w:caps w:val="0"/>
                <w:color w:val="333333"/>
                <w:spacing w:val="0"/>
                <w:kern w:val="2"/>
                <w:sz w:val="21"/>
                <w:szCs w:val="21"/>
                <w:lang w:val="en-US" w:eastAsia="zh-CN" w:bidi="ar"/>
              </w:rPr>
            </w:pPr>
            <w:r>
              <w:rPr>
                <w:rFonts w:hint="eastAsia" w:ascii="宋体" w:hAnsi="宋体" w:eastAsia="宋体" w:cs="宋体"/>
                <w:b/>
                <w:bCs w:val="0"/>
                <w:i w:val="0"/>
                <w:iCs w:val="0"/>
                <w:caps w:val="0"/>
                <w:color w:val="333333"/>
                <w:spacing w:val="0"/>
                <w:kern w:val="2"/>
                <w:sz w:val="21"/>
                <w:szCs w:val="21"/>
                <w:lang w:val="en-US" w:eastAsia="zh-CN" w:bidi="ar"/>
              </w:rPr>
              <w:t>2、承诺满足本项目各岗位配置，中标后严格按照技术要求书中列明各岗位不同级别工种标准足额发放工人工资，不得克扣、拖欠人员工资，否则甲方有权解除合同并追究违约责任。</w:t>
            </w:r>
          </w:p>
        </w:tc>
        <w:tc>
          <w:tcPr>
            <w:tcW w:w="1328" w:type="dxa"/>
            <w:vMerge w:val="continue"/>
            <w:tcBorders>
              <w:left w:val="nil"/>
              <w:right w:val="single" w:color="auto" w:sz="4"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宋体" w:hAnsi="宋体" w:eastAsia="宋体" w:cs="宋体"/>
                <w:b/>
                <w:bCs w:val="0"/>
                <w:i w:val="0"/>
                <w:iCs w:val="0"/>
                <w:caps w:val="0"/>
                <w:color w:val="333333"/>
                <w:spacing w:val="0"/>
                <w:kern w:val="2"/>
                <w:sz w:val="21"/>
                <w:szCs w:val="21"/>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88" w:hRule="atLeast"/>
        </w:trPr>
        <w:tc>
          <w:tcPr>
            <w:tcW w:w="568" w:type="dxa"/>
            <w:tcBorders>
              <w:left w:val="single" w:color="auto" w:sz="4" w:space="0"/>
              <w:right w:val="single" w:color="auto" w:sz="4"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宋体" w:hAnsi="宋体" w:eastAsia="宋体" w:cs="宋体"/>
                <w:b/>
                <w:bCs w:val="0"/>
                <w:i w:val="0"/>
                <w:iCs w:val="0"/>
                <w:caps w:val="0"/>
                <w:color w:val="333333"/>
                <w:spacing w:val="0"/>
                <w:kern w:val="2"/>
                <w:sz w:val="21"/>
                <w:szCs w:val="21"/>
                <w:lang w:val="en-US" w:eastAsia="zh-CN" w:bidi="ar"/>
              </w:rPr>
            </w:pPr>
          </w:p>
        </w:tc>
        <w:tc>
          <w:tcPr>
            <w:tcW w:w="786" w:type="dxa"/>
            <w:tcBorders>
              <w:left w:val="nil"/>
              <w:right w:val="single" w:color="auto" w:sz="4"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宋体" w:hAnsi="宋体" w:eastAsia="宋体" w:cs="宋体"/>
                <w:b/>
                <w:bCs w:val="0"/>
                <w:i w:val="0"/>
                <w:iCs w:val="0"/>
                <w:caps w:val="0"/>
                <w:color w:val="333333"/>
                <w:spacing w:val="0"/>
                <w:kern w:val="2"/>
                <w:sz w:val="21"/>
                <w:szCs w:val="21"/>
                <w:lang w:val="en-US" w:eastAsia="zh-CN" w:bidi="ar"/>
              </w:rPr>
            </w:pPr>
          </w:p>
        </w:tc>
        <w:tc>
          <w:tcPr>
            <w:tcW w:w="1283" w:type="dxa"/>
            <w:tcBorders>
              <w:left w:val="nil"/>
              <w:right w:val="single" w:color="auto" w:sz="4"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宋体" w:hAnsi="宋体" w:eastAsia="宋体" w:cs="宋体"/>
                <w:b/>
                <w:bCs w:val="0"/>
                <w:i w:val="0"/>
                <w:iCs w:val="0"/>
                <w:caps w:val="0"/>
                <w:color w:val="333333"/>
                <w:spacing w:val="0"/>
                <w:kern w:val="2"/>
                <w:sz w:val="21"/>
                <w:szCs w:val="21"/>
                <w:lang w:val="en-US" w:eastAsia="zh-CN" w:bidi="ar"/>
              </w:rPr>
            </w:pPr>
          </w:p>
        </w:tc>
        <w:tc>
          <w:tcPr>
            <w:tcW w:w="1017" w:type="dxa"/>
            <w:tcBorders>
              <w:left w:val="nil"/>
              <w:right w:val="single" w:color="auto" w:sz="4"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宋体" w:hAnsi="宋体" w:eastAsia="宋体" w:cs="宋体"/>
                <w:b/>
                <w:bCs w:val="0"/>
                <w:i w:val="0"/>
                <w:iCs w:val="0"/>
                <w:caps w:val="0"/>
                <w:color w:val="333333"/>
                <w:spacing w:val="0"/>
                <w:kern w:val="2"/>
                <w:sz w:val="21"/>
                <w:szCs w:val="21"/>
                <w:lang w:val="en-US" w:eastAsia="zh-CN" w:bidi="ar"/>
              </w:rPr>
            </w:pPr>
          </w:p>
        </w:tc>
        <w:tc>
          <w:tcPr>
            <w:tcW w:w="425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宋体" w:hAnsi="宋体" w:eastAsia="宋体" w:cs="宋体"/>
                <w:b/>
                <w:bCs w:val="0"/>
                <w:i w:val="0"/>
                <w:iCs w:val="0"/>
                <w:caps w:val="0"/>
                <w:color w:val="333333"/>
                <w:spacing w:val="0"/>
                <w:kern w:val="2"/>
                <w:sz w:val="21"/>
                <w:szCs w:val="21"/>
                <w:lang w:val="en-US" w:eastAsia="zh-CN" w:bidi="ar"/>
              </w:rPr>
            </w:pPr>
            <w:r>
              <w:rPr>
                <w:rFonts w:hint="eastAsia" w:ascii="宋体" w:hAnsi="宋体" w:eastAsia="宋体" w:cs="宋体"/>
                <w:b/>
                <w:bCs w:val="0"/>
                <w:i w:val="0"/>
                <w:iCs w:val="0"/>
                <w:caps w:val="0"/>
                <w:color w:val="333333"/>
                <w:spacing w:val="0"/>
                <w:kern w:val="2"/>
                <w:sz w:val="21"/>
                <w:szCs w:val="21"/>
                <w:lang w:val="en-US" w:eastAsia="zh-CN" w:bidi="ar"/>
              </w:rPr>
              <w:t>（6）★无欠薪失信记录</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宋体" w:hAnsi="宋体" w:eastAsia="宋体" w:cs="宋体"/>
                <w:b/>
                <w:bCs w:val="0"/>
                <w:i w:val="0"/>
                <w:iCs w:val="0"/>
                <w:caps w:val="0"/>
                <w:color w:val="333333"/>
                <w:spacing w:val="0"/>
                <w:kern w:val="2"/>
                <w:sz w:val="21"/>
                <w:szCs w:val="21"/>
                <w:lang w:val="en-US" w:eastAsia="zh-CN" w:bidi="ar"/>
              </w:rPr>
            </w:pPr>
            <w:r>
              <w:rPr>
                <w:rFonts w:hint="eastAsia" w:ascii="宋体" w:hAnsi="宋体" w:eastAsia="宋体" w:cs="宋体"/>
                <w:b/>
                <w:bCs w:val="0"/>
                <w:i w:val="0"/>
                <w:iCs w:val="0"/>
                <w:caps w:val="0"/>
                <w:color w:val="333333"/>
                <w:spacing w:val="0"/>
                <w:kern w:val="2"/>
                <w:sz w:val="21"/>
                <w:szCs w:val="21"/>
                <w:lang w:val="en-US" w:eastAsia="zh-CN" w:bidi="ar"/>
              </w:rPr>
              <w:t>1、投标人近36个月无人社部门公布的拖欠农民工工资失信联合惩戒记录，提供信用查询截图；存在欠薪惩戒记录直接否决投标。</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宋体" w:hAnsi="宋体" w:eastAsia="宋体" w:cs="宋体"/>
                <w:b/>
                <w:bCs w:val="0"/>
                <w:i w:val="0"/>
                <w:iCs w:val="0"/>
                <w:caps w:val="0"/>
                <w:color w:val="333333"/>
                <w:spacing w:val="0"/>
                <w:kern w:val="2"/>
                <w:sz w:val="21"/>
                <w:szCs w:val="21"/>
                <w:lang w:val="en-US" w:eastAsia="zh-CN" w:bidi="ar"/>
              </w:rPr>
            </w:pPr>
            <w:r>
              <w:rPr>
                <w:rFonts w:hint="eastAsia" w:ascii="宋体" w:hAnsi="宋体" w:eastAsia="宋体" w:cs="宋体"/>
                <w:b/>
                <w:bCs w:val="0"/>
                <w:i w:val="0"/>
                <w:iCs w:val="0"/>
                <w:caps w:val="0"/>
                <w:color w:val="333333"/>
                <w:spacing w:val="0"/>
                <w:kern w:val="2"/>
                <w:sz w:val="21"/>
                <w:szCs w:val="21"/>
                <w:lang w:val="en-US" w:eastAsia="zh-CN" w:bidi="ar"/>
              </w:rPr>
              <w:t>2、投标人近36个月，不存在因查实拖欠员工/农民工工资，被人力资源社会保障行政部门作出行政警告、责令改正的行政处理记录（经人社部门核查投诉不成立、调解结案且未查实存在拖欠工资违法行为的除外）。评标委员会可通过公开渠道复核该记录，经核查存在上述查实欠薪行政处理记录的，投标直接否决。</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宋体" w:hAnsi="宋体" w:eastAsia="宋体" w:cs="宋体"/>
                <w:b/>
                <w:bCs w:val="0"/>
                <w:i w:val="0"/>
                <w:iCs w:val="0"/>
                <w:caps w:val="0"/>
                <w:color w:val="333333"/>
                <w:spacing w:val="0"/>
                <w:kern w:val="2"/>
                <w:sz w:val="21"/>
                <w:szCs w:val="21"/>
                <w:lang w:val="en-US" w:eastAsia="zh-CN" w:bidi="ar"/>
              </w:rPr>
            </w:pPr>
            <w:r>
              <w:rPr>
                <w:rFonts w:hint="eastAsia" w:ascii="宋体" w:hAnsi="宋体" w:eastAsia="宋体" w:cs="宋体"/>
                <w:b/>
                <w:bCs w:val="0"/>
                <w:i w:val="0"/>
                <w:iCs w:val="0"/>
                <w:caps w:val="0"/>
                <w:color w:val="333333"/>
                <w:spacing w:val="0"/>
                <w:kern w:val="2"/>
                <w:sz w:val="21"/>
                <w:szCs w:val="21"/>
                <w:lang w:val="en-US" w:eastAsia="zh-CN" w:bidi="ar"/>
              </w:rPr>
              <w:t>注：投标人投标文件中须对此作出书面承诺。</w:t>
            </w:r>
          </w:p>
        </w:tc>
        <w:tc>
          <w:tcPr>
            <w:tcW w:w="1328" w:type="dxa"/>
            <w:tcBorders>
              <w:left w:val="nil"/>
              <w:right w:val="single" w:color="auto" w:sz="4" w:space="0"/>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宋体" w:hAnsi="宋体" w:eastAsia="宋体" w:cs="宋体"/>
                <w:b/>
                <w:bCs w:val="0"/>
                <w:i w:val="0"/>
                <w:iCs w:val="0"/>
                <w:caps w:val="0"/>
                <w:color w:val="333333"/>
                <w:spacing w:val="0"/>
                <w:kern w:val="2"/>
                <w:sz w:val="21"/>
                <w:szCs w:val="21"/>
                <w:lang w:val="en-US" w:eastAsia="zh-CN" w:bidi="ar"/>
              </w:rPr>
            </w:pPr>
          </w:p>
        </w:tc>
      </w:tr>
    </w:tbl>
    <w:p>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b/>
          <w:bCs/>
          <w:color w:val="333333"/>
          <w:kern w:val="2"/>
          <w:sz w:val="24"/>
          <w:szCs w:val="24"/>
          <w:lang w:val="en-US" w:eastAsia="zh-CN" w:bidi="ar"/>
        </w:rPr>
      </w:pP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b/>
          <w:bCs/>
          <w:color w:val="333333"/>
          <w:kern w:val="2"/>
          <w:sz w:val="21"/>
          <w:szCs w:val="21"/>
          <w:lang w:val="en-US" w:eastAsia="zh-CN" w:bidi="ar"/>
        </w:rPr>
      </w:pP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b/>
          <w:bCs/>
          <w:color w:val="333333"/>
          <w:kern w:val="2"/>
          <w:sz w:val="24"/>
          <w:szCs w:val="24"/>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976" w:firstLine="482" w:firstLineChars="200"/>
        <w:jc w:val="left"/>
        <w:rPr>
          <w:rFonts w:hint="eastAsia" w:ascii="宋体" w:hAnsi="宋体" w:eastAsia="宋体" w:cs="宋体"/>
          <w:b/>
          <w:bCs/>
          <w:sz w:val="24"/>
          <w:szCs w:val="24"/>
        </w:rPr>
      </w:pPr>
      <w:r>
        <w:rPr>
          <w:rFonts w:hint="eastAsia" w:ascii="宋体" w:hAnsi="宋体" w:eastAsia="宋体" w:cs="宋体"/>
          <w:b/>
          <w:bCs/>
          <w:color w:val="333333"/>
          <w:kern w:val="2"/>
          <w:sz w:val="24"/>
          <w:szCs w:val="24"/>
          <w:lang w:val="en-US" w:eastAsia="zh-CN" w:bidi="ar"/>
        </w:rPr>
        <w:t>本次公开的采办计划是本项目采办工作的初步安排，实际采购应以相关采购公告和采购文件为准，所有提供和反馈的信息只作为项目采办参考。</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482" w:firstLineChars="200"/>
        <w:jc w:val="left"/>
        <w:rPr>
          <w:rFonts w:hint="eastAsia" w:ascii="宋体" w:hAnsi="宋体" w:eastAsia="宋体" w:cs="宋体"/>
          <w:b/>
          <w:bCs/>
          <w:color w:val="333333"/>
          <w:kern w:val="2"/>
          <w:sz w:val="24"/>
          <w:szCs w:val="24"/>
          <w:lang w:val="en-US" w:eastAsia="zh-CN" w:bidi="ar"/>
        </w:rPr>
      </w:pPr>
      <w:r>
        <w:rPr>
          <w:rFonts w:hint="eastAsia" w:ascii="宋体" w:hAnsi="宋体" w:eastAsia="宋体" w:cs="宋体"/>
          <w:b/>
          <w:bCs/>
          <w:color w:val="333333"/>
          <w:kern w:val="2"/>
          <w:sz w:val="24"/>
          <w:szCs w:val="24"/>
          <w:lang w:val="en-US" w:eastAsia="zh-CN" w:bidi="ar"/>
        </w:rPr>
        <w:t>本次公告有效期是（2026年9月18日）至（2026年9月24</w:t>
      </w:r>
      <w:bookmarkStart w:id="0" w:name="_GoBack"/>
      <w:bookmarkEnd w:id="0"/>
      <w:r>
        <w:rPr>
          <w:rFonts w:hint="eastAsia" w:ascii="宋体" w:hAnsi="宋体" w:eastAsia="宋体" w:cs="宋体"/>
          <w:b/>
          <w:bCs/>
          <w:color w:val="333333"/>
          <w:kern w:val="2"/>
          <w:sz w:val="24"/>
          <w:szCs w:val="24"/>
          <w:lang w:val="en-US" w:eastAsia="zh-CN" w:bidi="ar"/>
        </w:rPr>
        <w:t>日）止。在此期间，有意参与的系统用户可在集团公司采办系统中提交反馈材料。</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2" w:firstLineChars="200"/>
        <w:jc w:val="left"/>
        <w:textAlignment w:val="auto"/>
        <w:rPr>
          <w:rFonts w:hint="eastAsia" w:ascii="宋体" w:hAnsi="宋体" w:eastAsia="宋体" w:cs="宋体"/>
          <w:b/>
          <w:bCs/>
          <w:color w:val="333333"/>
          <w:kern w:val="2"/>
          <w:sz w:val="24"/>
          <w:szCs w:val="24"/>
          <w:lang w:val="en-US" w:eastAsia="zh-CN" w:bidi="ar"/>
        </w:rPr>
      </w:pPr>
      <w:r>
        <w:rPr>
          <w:rFonts w:hint="eastAsia" w:ascii="宋体" w:hAnsi="宋体" w:eastAsia="宋体" w:cs="宋体"/>
          <w:b/>
          <w:bCs/>
          <w:color w:val="333333"/>
          <w:kern w:val="2"/>
          <w:sz w:val="24"/>
          <w:szCs w:val="24"/>
          <w:lang w:val="en-US" w:eastAsia="zh-CN" w:bidi="ar"/>
        </w:rPr>
        <w:t>如对上述公开内容真实、有效性存疑，请拨打社会监督电话：022-25802262，其他事项不受理！</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exact"/>
        <w:ind w:left="0" w:right="0"/>
        <w:jc w:val="left"/>
        <w:rPr>
          <w:rFonts w:hint="eastAsia" w:ascii="宋体" w:hAnsi="宋体" w:eastAsia="宋体" w:cs="宋体"/>
          <w:b/>
          <w:bCs/>
          <w:sz w:val="24"/>
          <w:szCs w:val="24"/>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320" w:firstLine="960"/>
        <w:jc w:val="right"/>
        <w:rPr>
          <w:rFonts w:hint="eastAsia" w:ascii="宋体" w:hAnsi="宋体" w:eastAsia="宋体" w:cs="宋体"/>
          <w:b/>
          <w:bCs/>
          <w:sz w:val="24"/>
          <w:szCs w:val="24"/>
        </w:rPr>
      </w:pPr>
      <w:r>
        <w:rPr>
          <w:rFonts w:hint="eastAsia" w:ascii="宋体" w:hAnsi="宋体" w:eastAsia="宋体" w:cs="宋体"/>
          <w:b/>
          <w:bCs/>
          <w:i w:val="0"/>
          <w:iCs w:val="0"/>
          <w:caps w:val="0"/>
          <w:color w:val="333333"/>
          <w:spacing w:val="0"/>
          <w:kern w:val="0"/>
          <w:sz w:val="24"/>
          <w:szCs w:val="24"/>
          <w:lang w:val="en-US" w:eastAsia="zh-CN" w:bidi="ar"/>
        </w:rPr>
        <w:t>中海油能源发展股份有限公司</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320" w:firstLine="960"/>
        <w:jc w:val="right"/>
        <w:rPr>
          <w:rFonts w:hint="eastAsia" w:ascii="宋体" w:hAnsi="宋体" w:eastAsia="宋体" w:cs="宋体"/>
          <w:b/>
          <w:bCs/>
          <w:sz w:val="24"/>
          <w:szCs w:val="24"/>
        </w:rPr>
      </w:pPr>
      <w:r>
        <w:rPr>
          <w:rFonts w:hint="eastAsia" w:ascii="宋体" w:hAnsi="宋体" w:eastAsia="宋体" w:cs="宋体"/>
          <w:b/>
          <w:bCs/>
          <w:i w:val="0"/>
          <w:iCs w:val="0"/>
          <w:caps w:val="0"/>
          <w:color w:val="333333"/>
          <w:spacing w:val="0"/>
          <w:kern w:val="0"/>
          <w:sz w:val="24"/>
          <w:szCs w:val="24"/>
          <w:lang w:val="en-US" w:eastAsia="zh-CN" w:bidi="ar"/>
        </w:rPr>
        <w:t>采办共享中心</w:t>
      </w:r>
      <w:r>
        <w:rPr>
          <w:rFonts w:hint="eastAsia" w:ascii="宋体" w:hAnsi="宋体" w:eastAsia="宋体" w:cs="宋体"/>
          <w:b/>
          <w:bCs/>
          <w:vanish/>
          <w:color w:val="333333"/>
          <w:kern w:val="2"/>
          <w:sz w:val="24"/>
          <w:szCs w:val="24"/>
        </w:rPr>
        <w:t>窗体顶端</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320" w:firstLine="960"/>
        <w:jc w:val="right"/>
        <w:rPr>
          <w:rFonts w:hint="default" w:ascii="宋体" w:hAnsi="宋体" w:eastAsia="宋体" w:cs="宋体"/>
          <w:b/>
          <w:bCs/>
          <w:i w:val="0"/>
          <w:iCs w:val="0"/>
          <w:caps w:val="0"/>
          <w:color w:val="333333"/>
          <w:spacing w:val="0"/>
          <w:kern w:val="0"/>
          <w:sz w:val="24"/>
          <w:szCs w:val="24"/>
          <w:lang w:val="en-US" w:eastAsia="zh-CN" w:bidi="ar"/>
        </w:rPr>
      </w:pPr>
      <w:r>
        <w:rPr>
          <w:rFonts w:hint="eastAsia" w:ascii="宋体" w:hAnsi="宋体" w:eastAsia="宋体" w:cs="宋体"/>
          <w:b/>
          <w:bCs/>
          <w:i w:val="0"/>
          <w:iCs w:val="0"/>
          <w:caps w:val="0"/>
          <w:color w:val="333333"/>
          <w:spacing w:val="0"/>
          <w:kern w:val="0"/>
          <w:sz w:val="24"/>
          <w:szCs w:val="24"/>
          <w:lang w:val="en-US" w:eastAsia="zh-CN" w:bidi="ar"/>
        </w:rPr>
        <w:t>联系人：王红红</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320" w:firstLine="960"/>
        <w:jc w:val="right"/>
        <w:rPr>
          <w:rFonts w:hint="eastAsia" w:ascii="宋体" w:hAnsi="宋体" w:eastAsia="宋体" w:cs="宋体"/>
          <w:b/>
          <w:bCs/>
          <w:i w:val="0"/>
          <w:iCs w:val="0"/>
          <w:caps w:val="0"/>
          <w:color w:val="333333"/>
          <w:spacing w:val="0"/>
          <w:kern w:val="0"/>
          <w:sz w:val="24"/>
          <w:szCs w:val="24"/>
          <w:lang w:val="en-US" w:eastAsia="zh-CN" w:bidi="ar"/>
        </w:rPr>
      </w:pPr>
      <w:r>
        <w:rPr>
          <w:rFonts w:hint="eastAsia" w:ascii="宋体" w:hAnsi="宋体" w:eastAsia="宋体" w:cs="宋体"/>
          <w:b/>
          <w:bCs/>
          <w:i w:val="0"/>
          <w:iCs w:val="0"/>
          <w:caps w:val="0"/>
          <w:color w:val="333333"/>
          <w:spacing w:val="0"/>
          <w:kern w:val="0"/>
          <w:sz w:val="24"/>
          <w:szCs w:val="24"/>
          <w:lang w:val="en-US" w:eastAsia="zh-CN" w:bidi="ar"/>
        </w:rPr>
        <w:t>电话：0519-83299392</w:t>
      </w:r>
    </w:p>
    <w:p>
      <w:pPr>
        <w:pStyle w:val="10"/>
        <w:rPr>
          <w:rFonts w:hint="eastAsia" w:ascii="宋体" w:hAnsi="宋体" w:eastAsia="宋体" w:cs="宋体"/>
          <w:b/>
          <w:bCs/>
          <w:i w:val="0"/>
          <w:iCs w:val="0"/>
          <w:caps w:val="0"/>
          <w:color w:val="333333"/>
          <w:spacing w:val="0"/>
          <w:kern w:val="0"/>
          <w:sz w:val="24"/>
          <w:szCs w:val="24"/>
          <w:lang w:val="en-US" w:eastAsia="zh-CN" w:bidi="ar"/>
        </w:rPr>
      </w:pPr>
      <w:r>
        <w:rPr>
          <w:rFonts w:hint="eastAsia" w:ascii="宋体" w:hAnsi="宋体" w:eastAsia="宋体" w:cs="宋体"/>
          <w:b/>
          <w:bCs/>
          <w:i w:val="0"/>
          <w:iCs w:val="0"/>
          <w:caps w:val="0"/>
          <w:color w:val="333333"/>
          <w:spacing w:val="0"/>
          <w:kern w:val="0"/>
          <w:sz w:val="24"/>
          <w:szCs w:val="24"/>
          <w:lang w:val="en-US" w:eastAsia="zh-CN" w:bidi="ar"/>
        </w:rPr>
        <w:t xml:space="preserve">                           邮箱：wanghh31@cnooc.com.cn</w:t>
      </w:r>
    </w:p>
    <w:p>
      <w:pPr>
        <w:pStyle w:val="39"/>
        <w:rPr>
          <w:rFonts w:hint="eastAsia" w:ascii="宋体" w:hAnsi="宋体" w:eastAsia="宋体" w:cs="宋体"/>
          <w:b/>
          <w:bCs/>
          <w:sz w:val="24"/>
          <w:szCs w:val="24"/>
        </w:rPr>
      </w:pPr>
      <w:r>
        <w:rPr>
          <w:rFonts w:hint="eastAsia" w:ascii="宋体" w:hAnsi="宋体" w:eastAsia="宋体" w:cs="宋体"/>
          <w:b/>
          <w:bCs/>
          <w:sz w:val="24"/>
          <w:szCs w:val="24"/>
        </w:rPr>
        <w:t>窗体底端</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320" w:firstLine="960"/>
        <w:jc w:val="right"/>
        <w:rPr>
          <w:rFonts w:ascii="Times New Roman" w:hAnsi="Times New Roman" w:eastAsia="仿宋_GB2312" w:cs="Times New Roman"/>
          <w:b/>
          <w:bCs w:val="0"/>
          <w:sz w:val="32"/>
          <w:szCs w:val="32"/>
        </w:rPr>
      </w:pPr>
      <w:r>
        <w:rPr>
          <w:rFonts w:ascii="Times New Roman" w:hAnsi="Times New Roman" w:eastAsia="仿宋_GB2312" w:cs="Times New Roman"/>
          <w:b/>
          <w:bCs w:val="0"/>
          <w:sz w:val="32"/>
          <w:szCs w:val="32"/>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icrosoft YaHei UI">
    <w:panose1 w:val="020B0503020204020204"/>
    <w:charset w:val="86"/>
    <w:family w:val="swiss"/>
    <w:pitch w:val="default"/>
    <w:sig w:usb0="80000287" w:usb1="2ACF3C50" w:usb2="00000016" w:usb3="00000000" w:csb0="0004001F" w:csb1="00000000"/>
  </w:font>
  <w:font w:name="monospace">
    <w:altName w:val="Segoe Print"/>
    <w:panose1 w:val="00000000000000000000"/>
    <w:charset w:val="00"/>
    <w:family w:val="auto"/>
    <w:pitch w:val="default"/>
    <w:sig w:usb0="00000000" w:usb1="00000000" w:usb2="00000000" w:usb3="00000000" w:csb0="00000000" w:csb1="00000000"/>
  </w:font>
  <w:font w:name="仿宋_GB2312">
    <w:altName w:val="仿宋"/>
    <w:panose1 w:val="02010609030101010101"/>
    <w:charset w:val="86"/>
    <w:family w:val="modern"/>
    <w:pitch w:val="default"/>
    <w:sig w:usb0="00000000" w:usb1="00000000" w:usb2="00000000" w:usb3="00000000" w:csb0="00040000" w:csb1="00000000"/>
  </w:font>
  <w:font w:name="Segoe Print">
    <w:panose1 w:val="02000600000000000000"/>
    <w:charset w:val="00"/>
    <w:family w:val="auto"/>
    <w:pitch w:val="default"/>
    <w:sig w:usb0="0000028F" w:usb1="00000000" w:usb2="00000000" w:usb3="00000000" w:csb0="2000009F" w:csb1="47010000"/>
  </w:font>
  <w:font w:name="仿宋">
    <w:panose1 w:val="02010609060101010101"/>
    <w:charset w:val="86"/>
    <w:family w:val="auto"/>
    <w:pitch w:val="default"/>
    <w:sig w:usb0="800002BF" w:usb1="38CF7CFA" w:usb2="00000016" w:usb3="00000000" w:csb0="00040001" w:csb1="00000000"/>
  </w:font>
  <w:font w:name="Segoe UI Symbol">
    <w:panose1 w:val="020B0502040204020203"/>
    <w:charset w:val="00"/>
    <w:family w:val="swiss"/>
    <w:pitch w:val="default"/>
    <w:sig w:usb0="800001E3" w:usb1="1200FFEF" w:usb2="00040000" w:usb3="04000000" w:csb0="00000001" w:csb1="4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RlNjZiOTY5ZTYxNmEzMzQzZTgzYWQ4M2U1OTIwMTIifQ=="/>
  </w:docVars>
  <w:rsids>
    <w:rsidRoot w:val="00AE20AB"/>
    <w:rsid w:val="002E3C4A"/>
    <w:rsid w:val="004029A6"/>
    <w:rsid w:val="00AE20AB"/>
    <w:rsid w:val="00D8335B"/>
    <w:rsid w:val="00ED277A"/>
    <w:rsid w:val="0426756C"/>
    <w:rsid w:val="05D04004"/>
    <w:rsid w:val="080F7CD4"/>
    <w:rsid w:val="0862593E"/>
    <w:rsid w:val="09024DAD"/>
    <w:rsid w:val="0CAB071A"/>
    <w:rsid w:val="0DCE7DDB"/>
    <w:rsid w:val="0EB50650"/>
    <w:rsid w:val="1330502F"/>
    <w:rsid w:val="136A494F"/>
    <w:rsid w:val="142B2A11"/>
    <w:rsid w:val="14796C9A"/>
    <w:rsid w:val="14B64E5B"/>
    <w:rsid w:val="1AAF7FB9"/>
    <w:rsid w:val="1AD854DD"/>
    <w:rsid w:val="1C085D68"/>
    <w:rsid w:val="1CC63914"/>
    <w:rsid w:val="1DAD0030"/>
    <w:rsid w:val="1EC133EC"/>
    <w:rsid w:val="1F5369F9"/>
    <w:rsid w:val="2135614E"/>
    <w:rsid w:val="223F21B3"/>
    <w:rsid w:val="260062E8"/>
    <w:rsid w:val="264C594C"/>
    <w:rsid w:val="2B2E19EE"/>
    <w:rsid w:val="2C685962"/>
    <w:rsid w:val="2EDA6C4B"/>
    <w:rsid w:val="31582B5A"/>
    <w:rsid w:val="33616C57"/>
    <w:rsid w:val="389D4D23"/>
    <w:rsid w:val="38DF2E5B"/>
    <w:rsid w:val="3B35302E"/>
    <w:rsid w:val="3F8B3129"/>
    <w:rsid w:val="410F6AFB"/>
    <w:rsid w:val="422856B9"/>
    <w:rsid w:val="43161BCF"/>
    <w:rsid w:val="49207A71"/>
    <w:rsid w:val="4A72177B"/>
    <w:rsid w:val="4CF5760C"/>
    <w:rsid w:val="4F815FEA"/>
    <w:rsid w:val="5AF17725"/>
    <w:rsid w:val="5AF46EE7"/>
    <w:rsid w:val="5C2059B1"/>
    <w:rsid w:val="5E8839B3"/>
    <w:rsid w:val="60035389"/>
    <w:rsid w:val="61107BF2"/>
    <w:rsid w:val="63434286"/>
    <w:rsid w:val="634F44C4"/>
    <w:rsid w:val="64E90A1E"/>
    <w:rsid w:val="663F57B9"/>
    <w:rsid w:val="67282DE4"/>
    <w:rsid w:val="6A680BA0"/>
    <w:rsid w:val="6B007CF6"/>
    <w:rsid w:val="6D98513C"/>
    <w:rsid w:val="6ECC6B72"/>
    <w:rsid w:val="6F3619F3"/>
    <w:rsid w:val="705436C5"/>
    <w:rsid w:val="71865732"/>
    <w:rsid w:val="73CA14AC"/>
    <w:rsid w:val="79300ED3"/>
    <w:rsid w:val="79D67358"/>
    <w:rsid w:val="7AA517F5"/>
    <w:rsid w:val="7BDB6FBD"/>
    <w:rsid w:val="7D4E1D1F"/>
    <w:rsid w:val="7E4173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1"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1"/>
    <w:basedOn w:val="1"/>
    <w:next w:val="1"/>
    <w:qFormat/>
    <w:uiPriority w:val="0"/>
    <w:pPr>
      <w:keepNext/>
      <w:keepLines/>
      <w:spacing w:before="340" w:after="330" w:line="576" w:lineRule="auto"/>
      <w:outlineLvl w:val="0"/>
    </w:pPr>
    <w:rPr>
      <w:b/>
      <w:kern w:val="44"/>
      <w:sz w:val="44"/>
    </w:rPr>
  </w:style>
  <w:style w:type="paragraph" w:styleId="5">
    <w:name w:val="heading 2"/>
    <w:basedOn w:val="1"/>
    <w:next w:val="1"/>
    <w:qFormat/>
    <w:uiPriority w:val="1"/>
    <w:pPr>
      <w:spacing w:line="479" w:lineRule="exact"/>
      <w:outlineLvl w:val="1"/>
    </w:pPr>
    <w:rPr>
      <w:rFonts w:ascii="Microsoft YaHei UI" w:hAnsi="Microsoft YaHei UI" w:eastAsia="Microsoft YaHei UI"/>
      <w:spacing w:val="2"/>
      <w:sz w:val="32"/>
      <w:szCs w:val="32"/>
      <w:lang w:eastAsia="zh-CN"/>
    </w:rPr>
  </w:style>
  <w:style w:type="paragraph" w:styleId="3">
    <w:name w:val="heading 8"/>
    <w:basedOn w:val="1"/>
    <w:next w:val="1"/>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3"/>
    <w:unhideWhenUsed/>
    <w:qFormat/>
    <w:uiPriority w:val="0"/>
    <w:pPr>
      <w:widowControl w:val="0"/>
      <w:ind w:firstLine="420" w:firstLineChars="200"/>
    </w:pPr>
    <w:rPr>
      <w:rFonts w:ascii="Times New Roman" w:hAnsi="Times New Roman" w:eastAsia="宋体" w:cs="Times New Roman"/>
      <w:sz w:val="22"/>
      <w:szCs w:val="22"/>
      <w:lang w:val="en-US" w:eastAsia="en-US" w:bidi="ar-SA"/>
    </w:rPr>
  </w:style>
  <w:style w:type="paragraph" w:styleId="6">
    <w:name w:val="Body Text"/>
    <w:basedOn w:val="1"/>
    <w:next w:val="1"/>
    <w:qFormat/>
    <w:uiPriority w:val="1"/>
    <w:pPr>
      <w:spacing w:before="36"/>
      <w:ind w:left="780"/>
      <w:jc w:val="left"/>
    </w:pPr>
    <w:rPr>
      <w:rFonts w:ascii="宋体" w:hAnsi="宋体" w:eastAsia="宋体"/>
      <w:kern w:val="0"/>
      <w:szCs w:val="21"/>
      <w:lang w:eastAsia="en-US"/>
    </w:rPr>
  </w:style>
  <w:style w:type="paragraph" w:styleId="7">
    <w:name w:val="footer"/>
    <w:basedOn w:val="1"/>
    <w:link w:val="28"/>
    <w:unhideWhenUsed/>
    <w:qFormat/>
    <w:uiPriority w:val="99"/>
    <w:pPr>
      <w:tabs>
        <w:tab w:val="center" w:pos="4153"/>
        <w:tab w:val="right" w:pos="8306"/>
      </w:tabs>
      <w:snapToGrid w:val="0"/>
      <w:jc w:val="left"/>
    </w:pPr>
    <w:rPr>
      <w:sz w:val="18"/>
      <w:szCs w:val="18"/>
    </w:rPr>
  </w:style>
  <w:style w:type="paragraph" w:styleId="8">
    <w:name w:val="header"/>
    <w:basedOn w:val="1"/>
    <w:link w:val="27"/>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semiHidden/>
    <w:unhideWhenUsed/>
    <w:qFormat/>
    <w:uiPriority w:val="99"/>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paragraph" w:styleId="10">
    <w:name w:val="Body Text First Indent"/>
    <w:basedOn w:val="6"/>
    <w:unhideWhenUsed/>
    <w:qFormat/>
    <w:uiPriority w:val="99"/>
    <w:pPr>
      <w:ind w:firstLine="567"/>
    </w:pPr>
  </w:style>
  <w:style w:type="table" w:styleId="12">
    <w:name w:val="Table Grid"/>
    <w:basedOn w:val="11"/>
    <w:qFormat/>
    <w:uiPriority w:val="0"/>
    <w:rPr>
      <w:rFonts w:eastAsia="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22"/>
    <w:rPr>
      <w:b/>
      <w:bCs/>
    </w:rPr>
  </w:style>
  <w:style w:type="character" w:styleId="15">
    <w:name w:val="FollowedHyperlink"/>
    <w:basedOn w:val="13"/>
    <w:semiHidden/>
    <w:unhideWhenUsed/>
    <w:qFormat/>
    <w:uiPriority w:val="99"/>
    <w:rPr>
      <w:color w:val="333333"/>
      <w:u w:val="none"/>
    </w:rPr>
  </w:style>
  <w:style w:type="character" w:styleId="16">
    <w:name w:val="Emphasis"/>
    <w:basedOn w:val="13"/>
    <w:qFormat/>
    <w:uiPriority w:val="20"/>
    <w:rPr>
      <w:b/>
      <w:bCs/>
    </w:rPr>
  </w:style>
  <w:style w:type="character" w:styleId="17">
    <w:name w:val="HTML Definition"/>
    <w:basedOn w:val="13"/>
    <w:semiHidden/>
    <w:unhideWhenUsed/>
    <w:qFormat/>
    <w:uiPriority w:val="99"/>
  </w:style>
  <w:style w:type="character" w:styleId="18">
    <w:name w:val="HTML Typewriter"/>
    <w:basedOn w:val="13"/>
    <w:semiHidden/>
    <w:unhideWhenUsed/>
    <w:qFormat/>
    <w:uiPriority w:val="99"/>
    <w:rPr>
      <w:rFonts w:hint="default" w:ascii="monospace" w:hAnsi="monospace" w:eastAsia="monospace" w:cs="monospace"/>
      <w:sz w:val="20"/>
    </w:rPr>
  </w:style>
  <w:style w:type="character" w:styleId="19">
    <w:name w:val="HTML Acronym"/>
    <w:basedOn w:val="13"/>
    <w:semiHidden/>
    <w:unhideWhenUsed/>
    <w:qFormat/>
    <w:uiPriority w:val="99"/>
  </w:style>
  <w:style w:type="character" w:styleId="20">
    <w:name w:val="HTML Variable"/>
    <w:basedOn w:val="13"/>
    <w:semiHidden/>
    <w:unhideWhenUsed/>
    <w:qFormat/>
    <w:uiPriority w:val="99"/>
  </w:style>
  <w:style w:type="character" w:styleId="21">
    <w:name w:val="Hyperlink"/>
    <w:basedOn w:val="13"/>
    <w:semiHidden/>
    <w:unhideWhenUsed/>
    <w:qFormat/>
    <w:uiPriority w:val="99"/>
    <w:rPr>
      <w:color w:val="333333"/>
      <w:u w:val="none"/>
    </w:rPr>
  </w:style>
  <w:style w:type="character" w:styleId="22">
    <w:name w:val="HTML Code"/>
    <w:basedOn w:val="13"/>
    <w:semiHidden/>
    <w:unhideWhenUsed/>
    <w:qFormat/>
    <w:uiPriority w:val="99"/>
    <w:rPr>
      <w:rFonts w:hint="default" w:ascii="monospace" w:hAnsi="monospace" w:eastAsia="monospace" w:cs="monospace"/>
      <w:sz w:val="20"/>
    </w:rPr>
  </w:style>
  <w:style w:type="character" w:styleId="23">
    <w:name w:val="HTML Cite"/>
    <w:basedOn w:val="13"/>
    <w:semiHidden/>
    <w:unhideWhenUsed/>
    <w:qFormat/>
    <w:uiPriority w:val="99"/>
  </w:style>
  <w:style w:type="character" w:styleId="24">
    <w:name w:val="HTML Keyboard"/>
    <w:basedOn w:val="13"/>
    <w:semiHidden/>
    <w:unhideWhenUsed/>
    <w:qFormat/>
    <w:uiPriority w:val="99"/>
    <w:rPr>
      <w:rFonts w:hint="default" w:ascii="monospace" w:hAnsi="monospace" w:eastAsia="monospace" w:cs="monospace"/>
      <w:sz w:val="20"/>
    </w:rPr>
  </w:style>
  <w:style w:type="character" w:styleId="25">
    <w:name w:val="HTML Sample"/>
    <w:basedOn w:val="13"/>
    <w:semiHidden/>
    <w:unhideWhenUsed/>
    <w:qFormat/>
    <w:uiPriority w:val="99"/>
    <w:rPr>
      <w:rFonts w:ascii="monospace" w:hAnsi="monospace" w:eastAsia="monospace" w:cs="monospace"/>
    </w:rPr>
  </w:style>
  <w:style w:type="paragraph" w:customStyle="1" w:styleId="26">
    <w:name w:val="Heading2"/>
    <w:basedOn w:val="1"/>
    <w:next w:val="1"/>
    <w:qFormat/>
    <w:uiPriority w:val="0"/>
    <w:pPr>
      <w:widowControl/>
      <w:spacing w:before="100" w:beforeAutospacing="1" w:after="100" w:afterAutospacing="1"/>
      <w:textAlignment w:val="baseline"/>
    </w:pPr>
    <w:rPr>
      <w:rFonts w:ascii="宋体" w:hAnsi="宋体" w:cs="宋体"/>
      <w:b/>
      <w:bCs/>
      <w:sz w:val="36"/>
      <w:szCs w:val="36"/>
    </w:rPr>
  </w:style>
  <w:style w:type="character" w:customStyle="1" w:styleId="27">
    <w:name w:val="页眉 字符"/>
    <w:basedOn w:val="13"/>
    <w:link w:val="8"/>
    <w:qFormat/>
    <w:uiPriority w:val="99"/>
    <w:rPr>
      <w:sz w:val="18"/>
      <w:szCs w:val="18"/>
    </w:rPr>
  </w:style>
  <w:style w:type="character" w:customStyle="1" w:styleId="28">
    <w:name w:val="页脚 字符"/>
    <w:basedOn w:val="13"/>
    <w:link w:val="7"/>
    <w:qFormat/>
    <w:uiPriority w:val="99"/>
    <w:rPr>
      <w:sz w:val="18"/>
      <w:szCs w:val="18"/>
    </w:rPr>
  </w:style>
  <w:style w:type="character" w:customStyle="1" w:styleId="29">
    <w:name w:val="comboiconspanclear"/>
    <w:basedOn w:val="13"/>
    <w:qFormat/>
    <w:uiPriority w:val="0"/>
  </w:style>
  <w:style w:type="character" w:customStyle="1" w:styleId="30">
    <w:name w:val="comboiconspan"/>
    <w:basedOn w:val="13"/>
    <w:qFormat/>
    <w:uiPriority w:val="0"/>
  </w:style>
  <w:style w:type="character" w:customStyle="1" w:styleId="31">
    <w:name w:val="select"/>
    <w:basedOn w:val="13"/>
    <w:qFormat/>
    <w:uiPriority w:val="0"/>
  </w:style>
  <w:style w:type="character" w:customStyle="1" w:styleId="32">
    <w:name w:val="clear"/>
    <w:basedOn w:val="13"/>
    <w:qFormat/>
    <w:uiPriority w:val="0"/>
  </w:style>
  <w:style w:type="character" w:customStyle="1" w:styleId="33">
    <w:name w:val="ui-icon47"/>
    <w:basedOn w:val="13"/>
    <w:qFormat/>
    <w:uiPriority w:val="0"/>
  </w:style>
  <w:style w:type="paragraph" w:customStyle="1" w:styleId="34">
    <w:name w:val="_Style 26"/>
    <w:basedOn w:val="1"/>
    <w:next w:val="1"/>
    <w:qFormat/>
    <w:uiPriority w:val="0"/>
    <w:pPr>
      <w:pBdr>
        <w:bottom w:val="single" w:color="auto" w:sz="6" w:space="1"/>
      </w:pBdr>
      <w:jc w:val="center"/>
    </w:pPr>
    <w:rPr>
      <w:rFonts w:ascii="Arial" w:eastAsia="宋体"/>
      <w:vanish/>
      <w:sz w:val="16"/>
    </w:rPr>
  </w:style>
  <w:style w:type="paragraph" w:customStyle="1" w:styleId="35">
    <w:name w:val="_Style 27"/>
    <w:basedOn w:val="1"/>
    <w:next w:val="1"/>
    <w:qFormat/>
    <w:uiPriority w:val="0"/>
    <w:pPr>
      <w:pBdr>
        <w:top w:val="single" w:color="auto" w:sz="6" w:space="1"/>
      </w:pBdr>
      <w:jc w:val="center"/>
    </w:pPr>
    <w:rPr>
      <w:rFonts w:ascii="Arial" w:eastAsia="宋体"/>
      <w:vanish/>
      <w:sz w:val="16"/>
    </w:rPr>
  </w:style>
  <w:style w:type="paragraph" w:styleId="36">
    <w:name w:val="List Paragraph"/>
    <w:basedOn w:val="1"/>
    <w:qFormat/>
    <w:uiPriority w:val="34"/>
    <w:pPr>
      <w:ind w:firstLine="420" w:firstLineChars="200"/>
    </w:pPr>
  </w:style>
  <w:style w:type="character" w:customStyle="1" w:styleId="37">
    <w:name w:val="ui-icon"/>
    <w:basedOn w:val="13"/>
    <w:qFormat/>
    <w:uiPriority w:val="0"/>
  </w:style>
  <w:style w:type="paragraph" w:customStyle="1" w:styleId="38">
    <w:name w:val="_Style 31"/>
    <w:basedOn w:val="1"/>
    <w:next w:val="1"/>
    <w:qFormat/>
    <w:uiPriority w:val="0"/>
    <w:pPr>
      <w:pBdr>
        <w:bottom w:val="single" w:color="auto" w:sz="6" w:space="1"/>
      </w:pBdr>
      <w:jc w:val="center"/>
    </w:pPr>
    <w:rPr>
      <w:rFonts w:ascii="Arial" w:eastAsia="宋体"/>
      <w:vanish/>
      <w:sz w:val="16"/>
    </w:rPr>
  </w:style>
  <w:style w:type="paragraph" w:customStyle="1" w:styleId="39">
    <w:name w:val="_Style 32"/>
    <w:basedOn w:val="1"/>
    <w:next w:val="1"/>
    <w:qFormat/>
    <w:uiPriority w:val="0"/>
    <w:pPr>
      <w:pBdr>
        <w:top w:val="single" w:color="auto" w:sz="6" w:space="1"/>
      </w:pBdr>
      <w:jc w:val="center"/>
    </w:pPr>
    <w:rPr>
      <w:rFonts w:ascii="Arial" w:eastAsia="宋体"/>
      <w:vanish/>
      <w:sz w:val="16"/>
    </w:rPr>
  </w:style>
  <w:style w:type="paragraph" w:customStyle="1" w:styleId="40">
    <w:name w:val="Table Paragraph"/>
    <w:basedOn w:val="1"/>
    <w:qFormat/>
    <w:uiPriority w:val="0"/>
    <w:pPr>
      <w:jc w:val="left"/>
    </w:pPr>
    <w:rPr>
      <w:kern w:val="0"/>
      <w:sz w:val="22"/>
      <w:lang w:eastAsia="en-US"/>
    </w:rPr>
  </w:style>
  <w:style w:type="paragraph" w:customStyle="1" w:styleId="41">
    <w:name w:val="报告正文"/>
    <w:basedOn w:val="1"/>
    <w:qFormat/>
    <w:uiPriority w:val="99"/>
    <w:pPr>
      <w:adjustRightInd w:val="0"/>
      <w:snapToGrid w:val="0"/>
      <w:ind w:firstLine="560"/>
    </w:pPr>
    <w:rPr>
      <w:szCs w:val="28"/>
    </w:rPr>
  </w:style>
  <w:style w:type="character" w:customStyle="1" w:styleId="42">
    <w:name w:val="font21"/>
    <w:basedOn w:val="13"/>
    <w:qFormat/>
    <w:uiPriority w:val="0"/>
    <w:rPr>
      <w:rFonts w:hint="eastAsia" w:ascii="宋体" w:hAnsi="宋体" w:eastAsia="宋体" w:cs="宋体"/>
      <w:color w:val="000000"/>
      <w:sz w:val="22"/>
      <w:szCs w:val="22"/>
      <w:u w:val="none"/>
    </w:rPr>
  </w:style>
  <w:style w:type="character" w:customStyle="1" w:styleId="43">
    <w:name w:val="font11"/>
    <w:basedOn w:val="13"/>
    <w:qFormat/>
    <w:uiPriority w:val="0"/>
    <w:rPr>
      <w:rFonts w:hint="default" w:ascii="Calibri" w:hAnsi="Calibri" w:cs="Calibri"/>
      <w:color w:val="000000"/>
      <w:sz w:val="22"/>
      <w:szCs w:val="22"/>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750</Words>
  <Characters>803</Characters>
  <Lines>2</Lines>
  <Paragraphs>1</Paragraphs>
  <TotalTime>5</TotalTime>
  <ScaleCrop>false</ScaleCrop>
  <LinksUpToDate>false</LinksUpToDate>
  <CharactersWithSpaces>814</CharactersWithSpaces>
  <Application>WPS Office_11.8.2.12309_F1E327BC-269C-435d-A152-05C5408002CA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2021-04-29T03:47:00Z</dcterms:created>
  <dc:creator>季云峰/采办项目组/集团公司机关</dc:creator>
  <cp:lastModifiedBy>王</cp:lastModifiedBy>
  <dcterms:modified xsi:type="dcterms:W3CDTF">2026-09-18T03:00:29Z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E0DDD390ADD646098BB794C5DC637230</vt:lpwstr>
  </property>
</Properties>
</file>