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afterAutospacing="0"/>
        <w:rPr>
          <w:rFonts w:hint="default" w:ascii="Arial" w:hAnsi="Arial" w:eastAsia="黑体"/>
          <w:sz w:val="18"/>
          <w:szCs w:val="18"/>
          <w:lang w:val="en-US" w:eastAsia="zh-CN"/>
        </w:rPr>
      </w:pPr>
      <w:bookmarkStart w:id="0" w:name="_Toc384451632"/>
      <w:r>
        <w:rPr>
          <w:rFonts w:ascii="Arial" w:hAnsi="Arial" w:eastAsia="黑体"/>
          <w:sz w:val="21"/>
          <w:szCs w:val="21"/>
        </w:rPr>
        <w:t>表格编号</w:t>
      </w:r>
      <w:bookmarkStart w:id="1" w:name="OLE_LINK3"/>
      <w:bookmarkStart w:id="2" w:name="OLE_LINK2"/>
      <w:r>
        <w:rPr>
          <w:rFonts w:ascii="Arial" w:hAnsi="Arial" w:eastAsia="黑体"/>
          <w:sz w:val="21"/>
          <w:szCs w:val="21"/>
        </w:rPr>
        <w:t>Ref No.</w:t>
      </w:r>
      <w:bookmarkEnd w:id="1"/>
      <w:bookmarkEnd w:id="2"/>
      <w:r>
        <w:rPr>
          <w:rFonts w:ascii="Arial" w:hAnsi="Arial" w:eastAsia="黑体"/>
          <w:sz w:val="21"/>
          <w:szCs w:val="21"/>
        </w:rPr>
        <w:t>：WT3-P/ZZ-10-R0</w:t>
      </w:r>
      <w:r>
        <w:rPr>
          <w:rFonts w:hint="eastAsia" w:eastAsia="黑体"/>
          <w:sz w:val="21"/>
          <w:szCs w:val="21"/>
          <w:lang w:val="en-US" w:eastAsia="zh-CN"/>
        </w:rPr>
        <w:t>4</w:t>
      </w:r>
      <w:r>
        <w:rPr>
          <w:rFonts w:ascii="Arial" w:hAnsi="Arial" w:eastAsia="黑体"/>
          <w:sz w:val="18"/>
          <w:szCs w:val="18"/>
        </w:rPr>
        <w:t xml:space="preserve"> </w:t>
      </w:r>
      <w:r>
        <w:rPr>
          <w:rFonts w:hint="eastAsia" w:ascii="Arial" w:hAnsi="Arial" w:eastAsia="黑体"/>
          <w:sz w:val="18"/>
          <w:szCs w:val="18"/>
          <w:lang w:val="en-US" w:eastAsia="zh-CN"/>
        </w:rPr>
        <w:t xml:space="preserve">         </w:t>
      </w:r>
      <w:r>
        <w:rPr>
          <w:rFonts w:hint="eastAsia" w:eastAsia="黑体"/>
          <w:sz w:val="18"/>
          <w:szCs w:val="18"/>
          <w:lang w:val="en-US" w:eastAsia="zh-CN"/>
        </w:rPr>
        <w:t xml:space="preserve">                                          </w:t>
      </w:r>
      <w:r>
        <w:rPr>
          <w:rFonts w:hint="eastAsia" w:ascii="Arial" w:hAnsi="Arial" w:eastAsia="黑体"/>
          <w:sz w:val="21"/>
          <w:szCs w:val="21"/>
          <w:lang w:val="en-US" w:eastAsia="zh-CN"/>
        </w:rPr>
        <w:t xml:space="preserve">版本号：1.0   </w:t>
      </w:r>
      <w:r>
        <w:rPr>
          <w:rFonts w:hint="eastAsia" w:ascii="Arial" w:hAnsi="Arial" w:eastAsia="黑体"/>
          <w:sz w:val="18"/>
          <w:szCs w:val="18"/>
          <w:lang w:val="en-US" w:eastAsia="zh-CN"/>
        </w:rPr>
        <w:t xml:space="preserve">                             </w:t>
      </w:r>
      <w:r>
        <w:rPr>
          <w:rFonts w:hint="eastAsia" w:eastAsia="黑体"/>
          <w:sz w:val="18"/>
          <w:szCs w:val="18"/>
          <w:lang w:val="en-US" w:eastAsia="zh-CN"/>
        </w:rPr>
        <w:t xml:space="preserve">        </w:t>
      </w:r>
      <w:r>
        <w:rPr>
          <w:rFonts w:hint="eastAsia" w:ascii="Arial" w:hAnsi="Arial" w:eastAsia="黑体"/>
          <w:sz w:val="18"/>
          <w:szCs w:val="18"/>
          <w:lang w:val="en-US" w:eastAsia="zh-CN"/>
        </w:rPr>
        <w:t xml:space="preserve">          </w:t>
      </w:r>
    </w:p>
    <w:p>
      <w:pPr>
        <w:rPr>
          <w:sz w:val="24"/>
          <w:szCs w:val="24"/>
        </w:rPr>
      </w:pPr>
    </w:p>
    <w:p>
      <w:pPr>
        <w:pStyle w:val="3"/>
        <w:numPr>
          <w:ilvl w:val="0"/>
          <w:numId w:val="0"/>
        </w:numPr>
        <w:jc w:val="both"/>
        <w:rPr>
          <w:sz w:val="72"/>
          <w:szCs w:val="72"/>
        </w:rPr>
      </w:pPr>
    </w:p>
    <w:p>
      <w:pPr>
        <w:pStyle w:val="3"/>
        <w:numPr>
          <w:ilvl w:val="0"/>
          <w:numId w:val="0"/>
        </w:numPr>
        <w:jc w:val="center"/>
        <w:rPr>
          <w:sz w:val="72"/>
          <w:szCs w:val="72"/>
        </w:rPr>
      </w:pPr>
    </w:p>
    <w:p/>
    <w:p/>
    <w:p>
      <w:pPr>
        <w:pStyle w:val="12"/>
      </w:pPr>
    </w:p>
    <w:p/>
    <w:p/>
    <w:p/>
    <w:p/>
    <w:p/>
    <w:p>
      <w:pPr>
        <w:pStyle w:val="34"/>
        <w:keepNext w:val="0"/>
        <w:keepLines w:val="0"/>
        <w:widowControl/>
        <w:suppressLineNumbers w:val="0"/>
        <w:spacing w:before="0" w:beforeAutospacing="0" w:after="0" w:afterAutospacing="0"/>
        <w:ind w:right="0" w:firstLine="2591" w:firstLineChars="500"/>
        <w:rPr>
          <w:rFonts w:hint="eastAsia" w:ascii="微软雅黑" w:hAnsi="微软雅黑" w:eastAsia="微软雅黑" w:cs="Arial Unicode MS"/>
          <w:b/>
          <w:bCs/>
          <w:spacing w:val="2"/>
          <w:w w:val="99"/>
          <w:kern w:val="0"/>
          <w:sz w:val="52"/>
          <w:szCs w:val="52"/>
          <w:lang w:val="en-US" w:eastAsia="zh-CN" w:bidi="ar-SA"/>
        </w:rPr>
      </w:pPr>
      <w:r>
        <w:rPr>
          <w:rFonts w:hint="eastAsia" w:ascii="微软雅黑" w:hAnsi="微软雅黑" w:eastAsia="微软雅黑" w:cs="Arial Unicode MS"/>
          <w:b/>
          <w:bCs/>
          <w:spacing w:val="2"/>
          <w:w w:val="99"/>
          <w:kern w:val="0"/>
          <w:sz w:val="52"/>
          <w:szCs w:val="52"/>
          <w:lang w:val="en-US" w:eastAsia="zh-CN" w:bidi="ar-SA"/>
        </w:rPr>
        <w:t>高速率涡轮发电机配件</w:t>
      </w:r>
    </w:p>
    <w:p>
      <w:pPr>
        <w:ind w:firstLine="3110" w:firstLineChars="600"/>
        <w:rPr>
          <w:rFonts w:hint="eastAsia" w:ascii="微软雅黑" w:hAnsi="微软雅黑" w:eastAsia="微软雅黑" w:cs="Arial Unicode MS"/>
          <w:b/>
          <w:spacing w:val="2"/>
          <w:w w:val="99"/>
          <w:sz w:val="52"/>
          <w:szCs w:val="52"/>
          <w:lang w:eastAsia="zh-CN"/>
        </w:rPr>
      </w:pPr>
      <w:r>
        <w:rPr>
          <w:rFonts w:hint="eastAsia" w:ascii="微软雅黑" w:hAnsi="微软雅黑" w:eastAsia="微软雅黑" w:cs="Arial Unicode MS"/>
          <w:b/>
          <w:spacing w:val="2"/>
          <w:w w:val="99"/>
          <w:sz w:val="52"/>
          <w:szCs w:val="52"/>
          <w:lang w:val="en-US" w:eastAsia="zh-CN"/>
        </w:rPr>
        <w:t>等</w:t>
      </w:r>
      <w:r>
        <w:rPr>
          <w:rFonts w:hint="eastAsia" w:ascii="微软雅黑" w:hAnsi="微软雅黑" w:eastAsia="微软雅黑" w:cs="Arial Unicode MS"/>
          <w:b/>
          <w:spacing w:val="2"/>
          <w:w w:val="99"/>
          <w:sz w:val="52"/>
          <w:szCs w:val="52"/>
        </w:rPr>
        <w:t>采购技术</w:t>
      </w:r>
      <w:r>
        <w:rPr>
          <w:rFonts w:hint="eastAsia" w:ascii="微软雅黑" w:hAnsi="微软雅黑" w:eastAsia="微软雅黑" w:cs="Arial Unicode MS"/>
          <w:b/>
          <w:spacing w:val="2"/>
          <w:w w:val="99"/>
          <w:sz w:val="52"/>
          <w:szCs w:val="52"/>
          <w:lang w:val="en-US" w:eastAsia="zh-CN"/>
        </w:rPr>
        <w:t>规格书</w:t>
      </w:r>
    </w:p>
    <w:p>
      <w:pPr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12"/>
        <w:rPr>
          <w:sz w:val="52"/>
          <w:szCs w:val="72"/>
        </w:rPr>
      </w:pPr>
    </w:p>
    <w:p>
      <w:pPr>
        <w:pStyle w:val="37"/>
        <w:jc w:val="both"/>
        <w:sectPr>
          <w:headerReference r:id="rId4" w:type="first"/>
          <w:footerReference r:id="rId6" w:type="first"/>
          <w:headerReference r:id="rId3" w:type="default"/>
          <w:footerReference r:id="rId5" w:type="even"/>
          <w:type w:val="nextColumn"/>
          <w:pgSz w:w="11907" w:h="16840"/>
          <w:pgMar w:top="284" w:right="567" w:bottom="170" w:left="851" w:header="284" w:footer="284" w:gutter="0"/>
          <w:pgNumType w:fmt="decimal" w:start="2" w:chapStyle="1"/>
          <w:cols w:space="720" w:num="1"/>
          <w:titlePg/>
          <w:docGrid w:linePitch="326" w:charSpace="0"/>
        </w:sectPr>
      </w:pPr>
    </w:p>
    <w:p>
      <w:pPr>
        <w:pStyle w:val="37"/>
      </w:pPr>
      <w:r>
        <w:tab/>
      </w:r>
      <w:bookmarkStart w:id="3" w:name="_Toc22808660"/>
      <w:bookmarkStart w:id="4" w:name="_Toc1313"/>
      <w:bookmarkStart w:id="5" w:name="_Toc19694676"/>
      <w:bookmarkStart w:id="6" w:name="_Toc22809320"/>
      <w:bookmarkStart w:id="7" w:name="_Toc22218332"/>
      <w:bookmarkStart w:id="8" w:name="_Toc29563534"/>
      <w:bookmarkStart w:id="9" w:name="_Toc58937096"/>
      <w:r>
        <w:rPr>
          <w:rFonts w:hint="eastAsia"/>
          <w:lang w:val="zh-CN"/>
        </w:rPr>
        <w:t>前   言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ind w:firstLine="560"/>
        <w:rPr>
          <w:sz w:val="28"/>
          <w:szCs w:val="28"/>
        </w:rPr>
      </w:pPr>
    </w:p>
    <w:p>
      <w:pPr>
        <w:ind w:firstLine="560"/>
        <w:rPr>
          <w:sz w:val="28"/>
          <w:szCs w:val="28"/>
        </w:rPr>
      </w:pPr>
    </w:p>
    <w:p>
      <w:pPr>
        <w:ind w:firstLine="5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本采购技术标准起草单位：</w:t>
      </w:r>
      <w:r>
        <w:rPr>
          <w:rFonts w:hint="eastAsia" w:ascii="宋体" w:hAnsi="宋体"/>
          <w:sz w:val="32"/>
          <w:szCs w:val="32"/>
        </w:rPr>
        <w:t>【中海油田服务股份有限公司油田技术事业部制造中心】</w:t>
      </w:r>
    </w:p>
    <w:p>
      <w:pPr>
        <w:ind w:firstLine="560"/>
        <w:rPr>
          <w:rFonts w:hint="eastAsia" w:ascii="宋体" w:hAnsi="宋体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本采购技术标准主要起草人：</w:t>
      </w:r>
    </w:p>
    <w:p>
      <w:pPr>
        <w:ind w:firstLine="560"/>
        <w:rPr>
          <w:rFonts w:hint="eastAsia" w:ascii="宋体" w:hAnsi="宋体"/>
          <w:sz w:val="32"/>
          <w:szCs w:val="32"/>
        </w:rPr>
      </w:pPr>
      <w:r>
        <w:rPr>
          <w:rFonts w:hint="eastAsia"/>
          <w:sz w:val="32"/>
          <w:szCs w:val="32"/>
        </w:rPr>
        <w:t>本采购技术标准主要审查人：</w:t>
      </w:r>
    </w:p>
    <w:p>
      <w:pPr>
        <w:ind w:firstLine="560"/>
        <w:rPr>
          <w:rFonts w:hint="eastAsia"/>
          <w:sz w:val="32"/>
          <w:szCs w:val="32"/>
        </w:rPr>
        <w:sectPr>
          <w:footerReference r:id="rId8" w:type="first"/>
          <w:footerReference r:id="rId7" w:type="default"/>
          <w:pgSz w:w="11907" w:h="16840"/>
          <w:pgMar w:top="284" w:right="567" w:bottom="170" w:left="851" w:header="284" w:footer="284" w:gutter="0"/>
          <w:pgNumType w:fmt="decimal" w:start="1" w:chapStyle="1"/>
          <w:cols w:space="720" w:num="1"/>
          <w:docGrid w:linePitch="326" w:charSpace="0"/>
        </w:sectPr>
      </w:pPr>
      <w:r>
        <w:rPr>
          <w:rFonts w:hint="eastAsia"/>
          <w:sz w:val="32"/>
          <w:szCs w:val="32"/>
        </w:rPr>
        <w:t>本采购技术标准主要</w:t>
      </w:r>
      <w:r>
        <w:rPr>
          <w:rFonts w:hint="eastAsia"/>
          <w:sz w:val="32"/>
          <w:szCs w:val="32"/>
          <w:lang w:val="en-US" w:eastAsia="zh-CN"/>
        </w:rPr>
        <w:t>批准</w:t>
      </w:r>
      <w:r>
        <w:rPr>
          <w:rFonts w:hint="eastAsia"/>
          <w:sz w:val="32"/>
          <w:szCs w:val="32"/>
        </w:rPr>
        <w:t>人：</w:t>
      </w:r>
    </w:p>
    <w:bookmarkEnd w:id="0"/>
    <w:p>
      <w:pPr>
        <w:spacing w:line="360" w:lineRule="auto"/>
        <w:ind w:firstLine="440" w:firstLineChars="200"/>
        <w:rPr>
          <w:rFonts w:ascii="Times New Roman" w:hAnsi="Times New Roman" w:cs="Times New Roman"/>
          <w:sz w:val="22"/>
          <w:lang w:val="zh-CN"/>
        </w:rPr>
      </w:pPr>
      <w:bookmarkStart w:id="10" w:name="_Toc23988"/>
      <w:bookmarkStart w:id="11" w:name="_Toc46705376"/>
      <w:bookmarkStart w:id="12" w:name="_Toc385235335"/>
      <w:bookmarkStart w:id="13" w:name="_Toc385321474"/>
      <w:bookmarkStart w:id="14" w:name="_Toc384463991"/>
      <w:bookmarkStart w:id="15" w:name="_Toc384451633"/>
      <w:bookmarkStart w:id="16" w:name="_Toc385235518"/>
      <w:bookmarkStart w:id="17" w:name="_Toc34450270"/>
      <w:bookmarkStart w:id="18" w:name="_Toc90179478"/>
      <w:bookmarkStart w:id="19" w:name="_Toc384464251"/>
      <w:bookmarkStart w:id="20" w:name="_Toc177274005"/>
      <w:bookmarkStart w:id="21" w:name="_Toc384464129"/>
      <w:bookmarkStart w:id="22" w:name="_Toc385127157"/>
      <w:r>
        <w:rPr>
          <w:rFonts w:ascii="Times New Roman" w:hAnsi="Times New Roman" w:cs="Times New Roman"/>
          <w:sz w:val="22"/>
          <w:lang w:val="zh-CN"/>
        </w:rPr>
        <w:t>本标准规定了</w:t>
      </w:r>
      <w:r>
        <w:rPr>
          <w:rFonts w:hint="eastAsia" w:cs="Arial" w:asciiTheme="minorEastAsia" w:hAnsiTheme="minorEastAsia" w:eastAsiaTheme="minorEastAsia"/>
          <w:bCs/>
          <w:color w:val="000000" w:themeColor="text1"/>
          <w:szCs w:val="22"/>
          <w:lang w:val="en-US" w:eastAsia="zh-CN"/>
          <w14:textFill>
            <w14:solidFill>
              <w14:schemeClr w14:val="tx1"/>
            </w14:solidFill>
          </w14:textFill>
        </w:rPr>
        <w:t>防堵式机电脉冲器（TY-PS-150），磁耦合式中功率发电机（TY-ALT-300），小尺寸多级耦合式高功率发电机（TY-MST-ALT-500）等</w:t>
      </w:r>
      <w:r>
        <w:rPr>
          <w:rFonts w:ascii="Times New Roman" w:hAnsi="Times New Roman" w:cs="Times New Roman"/>
          <w:sz w:val="22"/>
          <w:lang w:val="zh-CN"/>
        </w:rPr>
        <w:t>相关产品的使用条件、技术要求、运输要求、技术文件、试验方法及售后保障。</w:t>
      </w:r>
    </w:p>
    <w:p>
      <w:pPr>
        <w:spacing w:before="240" w:after="60"/>
        <w:outlineLvl w:val="0"/>
        <w:rPr>
          <w:rFonts w:ascii="Cambria" w:hAnsi="Cambria" w:cs="Times New Roman"/>
          <w:b/>
          <w:sz w:val="32"/>
          <w:szCs w:val="32"/>
        </w:rPr>
      </w:pPr>
      <w:r>
        <w:rPr>
          <w:rFonts w:hint="eastAsia" w:ascii="Cambria" w:hAnsi="Cambria" w:cs="Times New Roman"/>
          <w:b/>
          <w:sz w:val="32"/>
          <w:szCs w:val="32"/>
        </w:rPr>
        <w:t>2.</w:t>
      </w:r>
      <w:r>
        <w:rPr>
          <w:rFonts w:ascii="Cambria" w:hAnsi="Cambria" w:cs="Times New Roman"/>
          <w:b/>
          <w:sz w:val="32"/>
          <w:szCs w:val="32"/>
        </w:rPr>
        <w:t>引用</w:t>
      </w:r>
      <w:r>
        <w:rPr>
          <w:rFonts w:hint="eastAsia" w:ascii="Cambria" w:hAnsi="Cambria" w:cs="Times New Roman"/>
          <w:b/>
          <w:sz w:val="32"/>
          <w:szCs w:val="32"/>
        </w:rPr>
        <w:t>的</w:t>
      </w:r>
      <w:r>
        <w:rPr>
          <w:rFonts w:ascii="Cambria" w:hAnsi="Cambria" w:cs="Times New Roman"/>
          <w:b/>
          <w:sz w:val="32"/>
          <w:szCs w:val="32"/>
        </w:rPr>
        <w:t>标准</w:t>
      </w:r>
      <w:r>
        <w:rPr>
          <w:rFonts w:hint="eastAsia" w:ascii="Cambria" w:hAnsi="Cambria" w:cs="Times New Roman"/>
          <w:b/>
          <w:sz w:val="32"/>
          <w:szCs w:val="32"/>
        </w:rPr>
        <w:t>和</w:t>
      </w:r>
      <w:r>
        <w:rPr>
          <w:rFonts w:ascii="Cambria" w:hAnsi="Cambria" w:cs="Times New Roman"/>
          <w:b/>
          <w:sz w:val="32"/>
          <w:szCs w:val="32"/>
        </w:rPr>
        <w:t>规范</w:t>
      </w:r>
      <w:bookmarkEnd w:id="10"/>
    </w:p>
    <w:p>
      <w:pPr>
        <w:pStyle w:val="12"/>
        <w:spacing w:line="360" w:lineRule="auto"/>
        <w:rPr>
          <w:sz w:val="22"/>
          <w:szCs w:val="22"/>
        </w:rPr>
      </w:pPr>
      <w:bookmarkStart w:id="23" w:name="_Toc19694679"/>
      <w:bookmarkStart w:id="24" w:name="_Toc27791"/>
      <w:bookmarkStart w:id="25" w:name="_Toc22809323"/>
      <w:r>
        <w:rPr>
          <w:rFonts w:hint="eastAsia"/>
          <w:sz w:val="22"/>
          <w:szCs w:val="22"/>
        </w:rPr>
        <w:t>下列文件对于本文件的应用是必不可少的。凡是注日期的引用文件，仅注日期的版本适用于本文件。凡是不注日期的引用文件，其最新版本(包括所有的修改单)适用于本文件。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firstLine="440" w:firstLineChars="200"/>
        <w:textAlignment w:val="auto"/>
        <w:rPr>
          <w:rFonts w:hint="default" w:ascii="Times New Roman" w:hAnsi="Times New Roman" w:eastAsia="宋体" w:cs="Times New Roman"/>
          <w:bCs/>
          <w:sz w:val="22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GB/T 2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en-US" w:eastAsia="zh-CN" w:bidi="ar-SA"/>
        </w:rPr>
        <w:t>0833.4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-2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en-US" w:eastAsia="zh-CN" w:bidi="ar-SA"/>
        </w:rPr>
        <w:t>021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ab/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en-US" w:eastAsia="zh-CN" w:bidi="ar-SA"/>
        </w:rPr>
        <w:t>旋转电机 绕组绝缘 第4部分：绝缘电阻和极化指数测量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firstLine="440" w:firstLineChars="200"/>
        <w:textAlignment w:val="auto"/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</w:pP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GB/T 26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en-US" w:eastAsia="zh-CN" w:bidi="ar-SA"/>
        </w:rPr>
        <w:t>680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-201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en-US" w:eastAsia="zh-CN" w:bidi="ar-SA"/>
        </w:rPr>
        <w:t>1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ab/>
      </w:r>
      <w:r>
        <w:rPr>
          <w:rFonts w:hint="eastAsia" w:ascii="Times New Roman" w:hAnsi="Times New Roman" w:cs="Times New Roman"/>
          <w:bCs/>
          <w:sz w:val="22"/>
          <w:szCs w:val="21"/>
          <w:lang w:val="en-US" w:eastAsia="zh-CN" w:bidi="ar-SA"/>
        </w:rPr>
        <w:t xml:space="preserve">   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en-US" w:eastAsia="zh-CN" w:bidi="ar-SA"/>
        </w:rPr>
        <w:t>永磁同步发电机 技术条件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left="2417" w:leftChars="208" w:hanging="1980" w:hangingChars="900"/>
        <w:textAlignment w:val="auto"/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</w:pP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GB/T 17948.6-2018  旋转电机 绝缘结构功能性评定 成型绕组试验规程 绝缘结构热机械耐久性评定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firstLine="440" w:firstLineChars="200"/>
        <w:textAlignment w:val="auto"/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</w:pP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 xml:space="preserve">GB/T 26050-2024 </w:t>
      </w:r>
      <w:r>
        <w:rPr>
          <w:rFonts w:hint="eastAsia" w:ascii="Times New Roman" w:hAnsi="Times New Roman" w:cs="Times New Roman"/>
          <w:bCs/>
          <w:sz w:val="22"/>
          <w:szCs w:val="21"/>
          <w:lang w:val="en-US" w:eastAsia="zh-CN" w:bidi="ar-SA"/>
        </w:rPr>
        <w:t xml:space="preserve">  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 xml:space="preserve"> 硬质合金 金属元素含量的测定 X射线荧光光谱法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firstLine="440" w:firstLineChars="200"/>
        <w:textAlignment w:val="auto"/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</w:pP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GB/T 38368-2019</w:t>
      </w:r>
      <w:r>
        <w:rPr>
          <w:rFonts w:hint="eastAsia" w:ascii="Times New Roman" w:hAnsi="Times New Roman" w:cs="Times New Roman"/>
          <w:bCs/>
          <w:sz w:val="22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ab/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产品几何技术规范（GPS） 基于数字化模型的测量通用要求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firstLine="440" w:firstLineChars="200"/>
        <w:textAlignment w:val="auto"/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</w:pP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GB/T 17852-2018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ab/>
      </w:r>
      <w:r>
        <w:rPr>
          <w:rFonts w:hint="eastAsia" w:ascii="Times New Roman" w:hAnsi="Times New Roman" w:cs="Times New Roman"/>
          <w:bCs/>
          <w:sz w:val="22"/>
          <w:szCs w:val="21"/>
          <w:lang w:val="en-US" w:eastAsia="zh-CN" w:bidi="ar-SA"/>
        </w:rPr>
        <w:t xml:space="preserve">    </w:t>
      </w:r>
      <w:r>
        <w:rPr>
          <w:rFonts w:hint="eastAsia" w:ascii="Times New Roman" w:hAnsi="Times New Roman" w:eastAsia="宋体" w:cs="Times New Roman"/>
          <w:bCs/>
          <w:sz w:val="22"/>
          <w:szCs w:val="21"/>
          <w:lang w:val="zh-CN" w:eastAsia="zh-CN" w:bidi="ar-SA"/>
        </w:rPr>
        <w:t>产品几何技术规范（GPS） 几何公差 轮廓度公差标注</w:t>
      </w:r>
    </w:p>
    <w:p>
      <w:pPr>
        <w:spacing w:before="240" w:after="60"/>
        <w:outlineLvl w:val="0"/>
        <w:rPr>
          <w:rFonts w:ascii="Cambria" w:hAnsi="Cambria" w:cs="Times New Roman"/>
          <w:b/>
          <w:sz w:val="32"/>
          <w:szCs w:val="32"/>
        </w:rPr>
      </w:pPr>
      <w:r>
        <w:rPr>
          <w:rFonts w:hint="eastAsia" w:ascii="Cambria" w:hAnsi="Cambria" w:cs="Times New Roman"/>
          <w:b/>
          <w:sz w:val="32"/>
          <w:szCs w:val="32"/>
        </w:rPr>
        <w:t>3.术语和定义</w:t>
      </w:r>
      <w:bookmarkEnd w:id="23"/>
      <w:bookmarkEnd w:id="24"/>
      <w:bookmarkEnd w:id="25"/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bookmarkStart w:id="26" w:name="_Toc23994"/>
      <w:r>
        <w:rPr>
          <w:rFonts w:ascii="Times New Roman" w:hAnsi="Times New Roman"/>
          <w:bCs/>
          <w:sz w:val="22"/>
          <w:szCs w:val="21"/>
          <w:lang w:val="zh-CN"/>
        </w:rPr>
        <w:t>工作温度：最高允许环境温度（最高进液温度）无需降额；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转矩常数：根据扭矩和 RMS 电流计算出的扭矩常数；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电机磁极对数：电机的极对数；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额定电压：直流母线电压；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额定功率：额定转速下的连续功率；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额定转速：连续输出额定功率下的转速；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额定电流：额定转速下的连续电流（有效值）；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额定扭矩：额定转速下的连续扭矩；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连续失速扭矩：电机静止时的连续扭矩；</w:t>
      </w:r>
    </w:p>
    <w:p>
      <w:pPr>
        <w:pStyle w:val="12"/>
        <w:spacing w:line="360" w:lineRule="auto"/>
        <w:rPr>
          <w:rFonts w:ascii="Times New Roman" w:hAnsi="Times New Roman"/>
          <w:bCs/>
          <w:sz w:val="22"/>
          <w:szCs w:val="21"/>
          <w:lang w:val="zh-CN"/>
        </w:rPr>
      </w:pPr>
      <w:r>
        <w:rPr>
          <w:rFonts w:ascii="Times New Roman" w:hAnsi="Times New Roman"/>
          <w:bCs/>
          <w:sz w:val="22"/>
          <w:szCs w:val="21"/>
          <w:lang w:val="zh-CN"/>
        </w:rPr>
        <w:t>连续失速电流：导致绕组发热时的连续电流（rms 值）。</w:t>
      </w:r>
    </w:p>
    <w:p>
      <w:pPr>
        <w:pStyle w:val="12"/>
        <w:numPr>
          <w:ilvl w:val="0"/>
          <w:numId w:val="3"/>
        </w:numPr>
        <w:spacing w:line="360" w:lineRule="auto"/>
        <w:ind w:left="0" w:leftChars="0" w:firstLine="0" w:firstLineChars="0"/>
        <w:rPr>
          <w:rFonts w:hint="eastAsia" w:ascii="Cambria" w:hAnsi="Cambria" w:cs="Times New Roman"/>
          <w:b/>
          <w:sz w:val="32"/>
          <w:szCs w:val="32"/>
        </w:rPr>
      </w:pPr>
      <w:r>
        <w:rPr>
          <w:rFonts w:ascii="Cambria" w:hAnsi="Cambria" w:cs="Times New Roman"/>
          <w:b/>
          <w:sz w:val="32"/>
          <w:szCs w:val="32"/>
        </w:rPr>
        <w:t>使用（</w:t>
      </w:r>
      <w:r>
        <w:rPr>
          <w:rFonts w:hint="eastAsia" w:ascii="Cambria" w:hAnsi="Cambria" w:cs="Times New Roman"/>
          <w:b/>
          <w:sz w:val="32"/>
          <w:szCs w:val="32"/>
        </w:rPr>
        <w:t>或安装</w:t>
      </w:r>
      <w:r>
        <w:rPr>
          <w:rFonts w:ascii="Cambria" w:hAnsi="Cambria" w:cs="Times New Roman"/>
          <w:b/>
          <w:sz w:val="32"/>
          <w:szCs w:val="32"/>
        </w:rPr>
        <w:t>）</w:t>
      </w:r>
      <w:r>
        <w:rPr>
          <w:rFonts w:hint="eastAsia" w:ascii="Cambria" w:hAnsi="Cambria" w:cs="Times New Roman"/>
          <w:b/>
          <w:sz w:val="32"/>
          <w:szCs w:val="32"/>
        </w:rPr>
        <w:t>条件</w:t>
      </w:r>
      <w:bookmarkEnd w:id="26"/>
    </w:p>
    <w:p>
      <w:pPr>
        <w:pStyle w:val="3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4.1防堵式机电脉冲器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和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磁耦合式中功率发电机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均使用在精简型旋转导向系列仪器中，其环境指标要求如下：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240" w:lineRule="auto"/>
        <w:ind w:left="0" w:leftChars="0" w:firstLine="440" w:firstLineChars="20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温度不高于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160℃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；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240" w:lineRule="auto"/>
        <w:ind w:left="0" w:leftChars="0" w:firstLine="440" w:firstLineChars="20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压力不高于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140MPa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；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240" w:lineRule="auto"/>
        <w:ind w:left="0" w:leftChars="0" w:firstLine="440" w:firstLineChars="20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振动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不高于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20grms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；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240" w:lineRule="auto"/>
        <w:ind w:left="0" w:leftChars="0" w:firstLine="440" w:firstLineChars="20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default" w:ascii="Univers" w:hAnsi="Univers" w:cs="Times New Roman"/>
          <w:b w:val="0"/>
          <w:bCs w:val="0"/>
          <w:sz w:val="22"/>
          <w:szCs w:val="22"/>
          <w:lang w:val="en-US" w:eastAsia="zh-CN" w:bidi="ar-SA"/>
        </w:rPr>
        <w:t>排量范围1.6m</w:t>
      </w:r>
      <w:r>
        <w:rPr>
          <w:rFonts w:hint="default" w:ascii="Univers" w:hAnsi="Univers" w:cs="Times New Roman"/>
          <w:b w:val="0"/>
          <w:bCs w:val="0"/>
          <w:sz w:val="22"/>
          <w:szCs w:val="22"/>
          <w:vertAlign w:val="superscript"/>
          <w:lang w:val="en-US" w:eastAsia="zh-CN" w:bidi="ar-SA"/>
        </w:rPr>
        <w:t>3</w:t>
      </w:r>
      <w:r>
        <w:rPr>
          <w:rFonts w:hint="default" w:ascii="Univers" w:hAnsi="Univers" w:cs="Times New Roman"/>
          <w:b w:val="0"/>
          <w:bCs w:val="0"/>
          <w:sz w:val="22"/>
          <w:szCs w:val="22"/>
          <w:lang w:val="en-US" w:eastAsia="zh-CN" w:bidi="ar-SA"/>
        </w:rPr>
        <w:t>/min-2.4m</w:t>
      </w:r>
      <w:r>
        <w:rPr>
          <w:rFonts w:hint="default" w:ascii="Univers" w:hAnsi="Univers" w:cs="Times New Roman"/>
          <w:b w:val="0"/>
          <w:bCs w:val="0"/>
          <w:sz w:val="22"/>
          <w:szCs w:val="22"/>
          <w:vertAlign w:val="superscript"/>
          <w:lang w:val="en-US" w:eastAsia="zh-CN" w:bidi="ar-SA"/>
        </w:rPr>
        <w:t>3</w:t>
      </w:r>
      <w:r>
        <w:rPr>
          <w:rFonts w:hint="default" w:ascii="Univers" w:hAnsi="Univers" w:cs="Times New Roman"/>
          <w:b w:val="0"/>
          <w:bCs w:val="0"/>
          <w:sz w:val="22"/>
          <w:szCs w:val="22"/>
          <w:lang w:val="en-US" w:eastAsia="zh-CN" w:bidi="ar-SA"/>
        </w:rPr>
        <w:t>/min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。</w:t>
      </w:r>
    </w:p>
    <w:p>
      <w:pPr>
        <w:pStyle w:val="3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4.2小尺寸多级耦合式高功率发电机使用在精简型旋转导向系列仪器中，其环境指标要求如下：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240" w:lineRule="auto"/>
        <w:ind w:leftChars="20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1.温度不高于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160℃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；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240" w:lineRule="auto"/>
        <w:ind w:leftChars="20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2.压力不高于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140MPa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；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240" w:lineRule="auto"/>
        <w:ind w:leftChars="200"/>
        <w:jc w:val="both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3.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振动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不高于</w:t>
      </w:r>
      <w:r>
        <w:rPr>
          <w:rFonts w:hint="default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20grms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；</w:t>
      </w:r>
    </w:p>
    <w:p>
      <w:pPr>
        <w:pStyle w:val="3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80" w:line="360" w:lineRule="auto"/>
        <w:ind w:leftChars="200"/>
        <w:jc w:val="both"/>
        <w:textAlignment w:val="auto"/>
        <w:rPr>
          <w:rFonts w:hint="eastAsia" w:ascii="Cambria" w:hAnsi="Cambria" w:cs="Times New Roman"/>
          <w:b/>
          <w:sz w:val="32"/>
          <w:szCs w:val="32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4.</w:t>
      </w:r>
      <w:r>
        <w:rPr>
          <w:rFonts w:hint="default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排量范围</w:t>
      </w:r>
      <w:r>
        <w:rPr>
          <w:rFonts w:hint="eastAsia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0.7</w:t>
      </w:r>
      <w:r>
        <w:rPr>
          <w:rFonts w:hint="default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m</w:t>
      </w:r>
      <w:r>
        <w:rPr>
          <w:rFonts w:hint="default" w:ascii="Univers" w:hAnsi="Univers" w:cs="Times New Roman"/>
          <w:b w:val="0"/>
          <w:bCs w:val="0"/>
          <w:sz w:val="22"/>
          <w:szCs w:val="22"/>
          <w:highlight w:val="none"/>
          <w:vertAlign w:val="superscript"/>
          <w:lang w:val="en-US" w:eastAsia="zh-CN" w:bidi="ar-SA"/>
        </w:rPr>
        <w:t>3</w:t>
      </w:r>
      <w:r>
        <w:rPr>
          <w:rFonts w:hint="default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/min-</w:t>
      </w:r>
      <w:r>
        <w:rPr>
          <w:rFonts w:hint="eastAsia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1.2</w:t>
      </w:r>
      <w:r>
        <w:rPr>
          <w:rFonts w:hint="default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m</w:t>
      </w:r>
      <w:r>
        <w:rPr>
          <w:rFonts w:hint="default" w:ascii="Univers" w:hAnsi="Univers" w:cs="Times New Roman"/>
          <w:b w:val="0"/>
          <w:bCs w:val="0"/>
          <w:sz w:val="22"/>
          <w:szCs w:val="22"/>
          <w:highlight w:val="none"/>
          <w:vertAlign w:val="superscript"/>
          <w:lang w:val="en-US" w:eastAsia="zh-CN" w:bidi="ar-SA"/>
        </w:rPr>
        <w:t>3</w:t>
      </w:r>
      <w:r>
        <w:rPr>
          <w:rFonts w:hint="default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/min</w:t>
      </w:r>
      <w:r>
        <w:rPr>
          <w:rFonts w:hint="eastAsia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。</w:t>
      </w:r>
    </w:p>
    <w:p>
      <w:pPr>
        <w:pStyle w:val="12"/>
        <w:spacing w:line="360" w:lineRule="auto"/>
        <w:ind w:left="0" w:leftChars="0" w:firstLine="0" w:firstLineChars="0"/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4.3 大功率发电机的使用环境温度不高于150℃，压力不高于20000PSI，冲击50g，振动20g；</w:t>
      </w:r>
    </w:p>
    <w:p>
      <w:pPr>
        <w:pStyle w:val="37"/>
        <w:jc w:val="both"/>
        <w:rPr>
          <w:rFonts w:hint="eastAsia"/>
          <w:lang w:eastAsia="zh-CN"/>
        </w:rPr>
      </w:pPr>
      <w:r>
        <w:rPr>
          <w:rFonts w:hint="eastAsia"/>
        </w:rPr>
        <w:t>5.技术要求</w:t>
      </w:r>
      <w:bookmarkEnd w:id="11"/>
    </w:p>
    <w:p>
      <w:pPr>
        <w:pStyle w:val="2"/>
        <w:numPr>
          <w:ilvl w:val="0"/>
          <w:numId w:val="0"/>
        </w:numPr>
        <w:spacing w:line="360" w:lineRule="auto"/>
        <w:rPr>
          <w:rFonts w:hint="eastAsia"/>
          <w:sz w:val="22"/>
          <w:szCs w:val="22"/>
        </w:rPr>
      </w:pPr>
      <w:bookmarkStart w:id="27" w:name="_Toc26057"/>
      <w:bookmarkStart w:id="28" w:name="_Toc46705379"/>
      <w:bookmarkStart w:id="29" w:name="_Toc490747990"/>
      <w:r>
        <w:rPr>
          <w:rFonts w:hint="eastAsia"/>
          <w:sz w:val="22"/>
          <w:szCs w:val="22"/>
        </w:rPr>
        <w:t>5.1供货范围</w:t>
      </w:r>
      <w:bookmarkEnd w:id="27"/>
    </w:p>
    <w:p>
      <w:pPr>
        <w:adjustRightInd w:val="0"/>
        <w:spacing w:before="120" w:after="120" w:line="360" w:lineRule="auto"/>
        <w:jc w:val="left"/>
        <w:textAlignment w:val="baseline"/>
        <w:outlineLvl w:val="1"/>
        <w:rPr>
          <w:rFonts w:hint="eastAsia" w:eastAsia="宋体"/>
          <w:color w:val="000000"/>
          <w:sz w:val="22"/>
          <w:szCs w:val="22"/>
          <w:highlight w:val="none"/>
        </w:rPr>
      </w:pPr>
      <w:bookmarkStart w:id="30" w:name="_Toc44"/>
      <w:r>
        <w:rPr>
          <w:rFonts w:hint="eastAsia" w:eastAsia="宋体"/>
          <w:color w:val="000000"/>
          <w:sz w:val="22"/>
          <w:szCs w:val="22"/>
          <w:highlight w:val="none"/>
          <w:lang w:val="en-US" w:eastAsia="zh-CN"/>
        </w:rPr>
        <w:t>详见物资材料采购申请单</w:t>
      </w:r>
    </w:p>
    <w:p>
      <w:pPr>
        <w:pStyle w:val="2"/>
        <w:numPr>
          <w:ilvl w:val="0"/>
          <w:numId w:val="0"/>
        </w:num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5.</w:t>
      </w:r>
      <w:r>
        <w:rPr>
          <w:sz w:val="22"/>
          <w:szCs w:val="22"/>
        </w:rPr>
        <w:t>2</w:t>
      </w:r>
      <w:bookmarkStart w:id="31" w:name="_Toc2693964"/>
      <w:r>
        <w:rPr>
          <w:rFonts w:hint="eastAsia" w:ascii="宋体" w:hAnsi="宋体" w:eastAsia="宋体" w:cs="宋体"/>
          <w:sz w:val="22"/>
          <w:szCs w:val="22"/>
        </w:rPr>
        <w:t>★</w:t>
      </w:r>
      <w:r>
        <w:rPr>
          <w:rFonts w:hint="eastAsia"/>
          <w:sz w:val="22"/>
          <w:szCs w:val="22"/>
        </w:rPr>
        <w:t>关键技术要求</w:t>
      </w:r>
      <w:bookmarkEnd w:id="30"/>
      <w:bookmarkEnd w:id="3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18" w:leftChars="0" w:hanging="418" w:hangingChars="19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sz w:val="22"/>
          <w:szCs w:val="22"/>
        </w:rPr>
        <w:t>★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5.2.1 防堵式机电脉冲器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防堵式机电脉冲器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规格型号：TY-PS-150，产品模型外观图如图1所示：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drawing>
          <wp:inline distT="0" distB="0" distL="114300" distR="114300">
            <wp:extent cx="4319905" cy="968375"/>
            <wp:effectExtent l="0" t="0" r="4445" b="3175"/>
            <wp:docPr id="24" name="图片 24" descr="e619dd4bdaefca605769dfc97cf58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619dd4bdaefca605769dfc97cf58b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drawing>
          <wp:inline distT="0" distB="0" distL="114300" distR="114300">
            <wp:extent cx="4319905" cy="932815"/>
            <wp:effectExtent l="0" t="0" r="444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l="157" t="17294" r="66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 xml:space="preserve">图1 </w:t>
      </w:r>
      <w:r>
        <w:rPr>
          <w:rFonts w:hint="eastAsia" w:ascii="Univers" w:hAnsi="Univers" w:eastAsia="宋体" w:cs="Times New Roman"/>
          <w:b w:val="0"/>
          <w:bCs w:val="0"/>
          <w:sz w:val="21"/>
          <w:szCs w:val="21"/>
          <w:lang w:val="en-US" w:eastAsia="zh-CN" w:bidi="ar-SA"/>
        </w:rPr>
        <w:t>防堵式机电脉冲器</w:t>
      </w: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模型外观图</w:t>
      </w:r>
    </w:p>
    <w:p>
      <w:pPr>
        <w:spacing w:line="360" w:lineRule="auto"/>
        <w:ind w:firstLine="440" w:firstLineChars="200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防堵式机电脉冲器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的机械接口和外形尺寸要求如图2所示：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994910" cy="3528695"/>
            <wp:effectExtent l="0" t="0" r="15240" b="146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 xml:space="preserve">图2 </w:t>
      </w:r>
      <w:r>
        <w:rPr>
          <w:rFonts w:hint="eastAsia" w:ascii="Univers" w:hAnsi="Univers" w:eastAsia="宋体" w:cs="Times New Roman"/>
          <w:b w:val="0"/>
          <w:bCs w:val="0"/>
          <w:sz w:val="21"/>
          <w:szCs w:val="21"/>
          <w:lang w:val="en-US" w:eastAsia="zh-CN" w:bidi="ar-SA"/>
        </w:rPr>
        <w:t>防堵式机电脉冲器</w:t>
      </w: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机械接口和外形尺寸图</w:t>
      </w:r>
    </w:p>
    <w:p>
      <w:pPr>
        <w:spacing w:line="360" w:lineRule="auto"/>
        <w:ind w:firstLine="440" w:firstLineChars="200"/>
        <w:rPr>
          <w:rFonts w:hint="eastAsia" w:ascii="宋体" w:cs="宋体"/>
          <w:color w:val="000000"/>
          <w:sz w:val="22"/>
          <w:lang w:val="zh-CN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防堵式机电脉冲器</w:t>
      </w:r>
      <w:r>
        <w:rPr>
          <w:rFonts w:hint="eastAsia" w:ascii="宋体" w:cs="宋体"/>
          <w:color w:val="000000"/>
          <w:sz w:val="22"/>
          <w:lang w:val="zh-CN"/>
        </w:rPr>
        <w:t>外壳采用1</w:t>
      </w:r>
      <w:r>
        <w:rPr>
          <w:rFonts w:ascii="宋体" w:cs="宋体"/>
          <w:color w:val="000000"/>
          <w:sz w:val="22"/>
          <w:lang w:val="zh-CN"/>
        </w:rPr>
        <w:t>7-4</w:t>
      </w:r>
      <w:r>
        <w:rPr>
          <w:rFonts w:hint="eastAsia" w:ascii="宋体" w:cs="宋体"/>
          <w:color w:val="000000"/>
          <w:sz w:val="22"/>
          <w:lang w:val="zh-CN"/>
        </w:rPr>
        <w:t>PH（H1025态）材料，</w:t>
      </w:r>
      <w:r>
        <w:rPr>
          <w:rFonts w:hint="eastAsia" w:ascii="宋体" w:cs="宋体"/>
          <w:color w:val="000000"/>
          <w:sz w:val="22"/>
          <w:lang w:val="en-US" w:eastAsia="zh-CN"/>
        </w:rPr>
        <w:t>需</w:t>
      </w:r>
      <w:r>
        <w:rPr>
          <w:rFonts w:hint="eastAsia" w:ascii="宋体" w:cs="宋体"/>
          <w:color w:val="000000"/>
          <w:sz w:val="22"/>
          <w:lang w:val="zh-CN"/>
        </w:rPr>
        <w:t>满足材质</w:t>
      </w:r>
      <w:r>
        <w:rPr>
          <w:rFonts w:hint="eastAsia" w:ascii="宋体" w:cs="宋体"/>
          <w:color w:val="000000"/>
          <w:sz w:val="22"/>
          <w:lang w:val="en-US" w:eastAsia="zh-CN"/>
        </w:rPr>
        <w:t>技术</w:t>
      </w:r>
      <w:r>
        <w:rPr>
          <w:rFonts w:hint="eastAsia" w:ascii="宋体" w:cs="宋体"/>
          <w:color w:val="000000"/>
          <w:sz w:val="22"/>
          <w:lang w:val="zh-CN"/>
        </w:rPr>
        <w:t>要求</w:t>
      </w:r>
      <w:r>
        <w:rPr>
          <w:rFonts w:hint="eastAsia" w:ascii="宋体" w:cs="宋体"/>
          <w:color w:val="000000"/>
          <w:sz w:val="22"/>
          <w:lang w:val="en-US" w:eastAsia="zh-CN"/>
        </w:rPr>
        <w:t>如表1所示</w:t>
      </w:r>
      <w:r>
        <w:rPr>
          <w:rFonts w:hint="eastAsia" w:ascii="宋体" w:cs="宋体"/>
          <w:color w:val="000000"/>
          <w:sz w:val="22"/>
          <w:lang w:val="zh-CN"/>
        </w:rPr>
        <w:t>：</w:t>
      </w:r>
    </w:p>
    <w:p>
      <w:pPr>
        <w:spacing w:line="360" w:lineRule="auto"/>
        <w:jc w:val="center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 xml:space="preserve">表1 </w:t>
      </w:r>
      <w:r>
        <w:rPr>
          <w:rFonts w:hint="eastAsia" w:ascii="Univers" w:hAnsi="Univers" w:eastAsia="宋体" w:cs="Times New Roman"/>
          <w:b w:val="0"/>
          <w:bCs w:val="0"/>
          <w:sz w:val="21"/>
          <w:szCs w:val="21"/>
          <w:lang w:val="en-US" w:eastAsia="zh-CN" w:bidi="ar-SA"/>
        </w:rPr>
        <w:t>防堵式机电脉冲器</w:t>
      </w: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外壳材料技术要求</w:t>
      </w:r>
    </w:p>
    <w:tbl>
      <w:tblPr>
        <w:tblStyle w:val="4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964"/>
        <w:gridCol w:w="964"/>
        <w:gridCol w:w="964"/>
        <w:gridCol w:w="1134"/>
        <w:gridCol w:w="794"/>
        <w:gridCol w:w="850"/>
        <w:gridCol w:w="85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技术要求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抗拉强度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屈服强度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拉伸率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面积收缩率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硬度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S含量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P含量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M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 xml:space="preserve">n 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含量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指标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070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M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a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000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MPa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2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4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5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%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38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HRC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0.03%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0.035%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1%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</w:p>
    <w:p>
      <w:pPr>
        <w:spacing w:line="360" w:lineRule="auto"/>
        <w:ind w:firstLine="440" w:firstLineChars="200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防堵式机电脉冲器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的电机使用德国WITTENSTEIN公司产品，电机的技术要求如表2所示：</w:t>
      </w:r>
    </w:p>
    <w:p>
      <w:pPr>
        <w:spacing w:line="360" w:lineRule="auto"/>
        <w:jc w:val="center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 xml:space="preserve">表2 </w:t>
      </w:r>
      <w:r>
        <w:rPr>
          <w:rFonts w:hint="eastAsia" w:ascii="Univers" w:hAnsi="Univers" w:eastAsia="宋体" w:cs="Times New Roman"/>
          <w:b w:val="0"/>
          <w:bCs w:val="0"/>
          <w:sz w:val="21"/>
          <w:szCs w:val="21"/>
          <w:lang w:val="en-US" w:eastAsia="zh-CN" w:bidi="ar-SA"/>
        </w:rPr>
        <w:t>防堵式机电脉冲器</w:t>
      </w: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电机技术要求</w:t>
      </w:r>
    </w:p>
    <w:tbl>
      <w:tblPr>
        <w:tblStyle w:val="4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35" w:type="dxa"/>
            <w:vAlign w:val="center"/>
          </w:tcPr>
          <w:p>
            <w:pPr>
              <w:jc w:val="center"/>
              <w:rPr>
                <w:rFonts w:hint="default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电机技术要求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default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参数指标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直流母线电压U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 xml:space="preserve"> DC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300 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扭矩常数K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m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0.40 Nm/A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电压常数K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e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0.33 Vs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电机常数K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mot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0.28 Nm/</w:t>
            </w:r>
            <m:oMath>
              <m:rad>
                <m:radPr>
                  <m:degHide m:val="1"/>
                  <m:ctrlPr>
                    <w:rPr>
                      <w:rFonts w:hint="default" w:ascii="Cambria Math" w:hAnsi="Cambria Math" w:cs="Times New Roman"/>
                      <w:i w:val="0"/>
                      <w:i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/>
                    </w:rPr>
                  </m:ctrlPr>
                </m:radPr>
                <m:deg>
                  <m:ctrlPr>
                    <w:rPr>
                      <w:rFonts w:hint="default" w:ascii="Cambria Math" w:hAnsi="Cambria Math" w:cs="Times New Roman"/>
                      <w:i w:val="0"/>
                      <w:i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/>
                    </w:rPr>
                  </m:ctrlPr>
                </m:deg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m:t>w</m:t>
                  </m:r>
                  <m:ctrlPr>
                    <w:rPr>
                      <w:rFonts w:hint="default" w:ascii="Cambria Math" w:hAnsi="Cambria Math" w:cs="Times New Roman"/>
                      <w:i w:val="0"/>
                      <w:i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/>
                    </w:rPr>
                  </m:ctrlPr>
                </m:e>
              </m:rad>
            </m:oMath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环境温度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200℃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最大绕组温度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240℃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热阻R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th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0.44 K/W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最大功率P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4381 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最大转矩M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6.2 Nm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最大电流I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16.0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连续失速转矩M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0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1.9 Nm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连续失速电流I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0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4.8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空载转速n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0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8740 min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perscript"/>
                <w:lang w:val="en-US" w:eastAsia="zh-CN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额定功率P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1228 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额定转矩M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1.43 Nm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额定电流I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3.8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额定转速n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8200 min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perscript"/>
                <w:lang w:val="en-US" w:eastAsia="zh-CN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电机端子电阻R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tt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1.41Ω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电机端子电感L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bscript"/>
                <w:lang w:val="en-US" w:eastAsia="zh-CN"/>
              </w:rPr>
              <w:t>tt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3.84 mH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电时间常数τe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2.72 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极对数P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惯性活动部件J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8.5E-05 kgm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质量活动部件m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vertAlign w:val="baseline"/>
                <w:lang w:val="en-US" w:eastAsia="zh-CN"/>
              </w:rPr>
              <w:t>3.0 kg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sz w:val="22"/>
          <w:szCs w:val="22"/>
        </w:rPr>
        <w:t>★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2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</w:t>
      </w:r>
      <w:r>
        <w:rPr>
          <w:rFonts w:hint="default" w:ascii="Univers" w:hAnsi="Univers" w:eastAsia="宋体" w:cs="Times New Roman"/>
          <w:b/>
          <w:bCs/>
          <w:sz w:val="22"/>
          <w:szCs w:val="22"/>
          <w:lang w:val="en-US" w:eastAsia="zh-CN" w:bidi="ar-SA"/>
        </w:rPr>
        <w:t>磁耦合式中功率发电机</w:t>
      </w:r>
    </w:p>
    <w:p>
      <w:pPr>
        <w:spacing w:line="360" w:lineRule="auto"/>
        <w:ind w:firstLine="440" w:firstLineChars="200"/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</w:pPr>
    </w:p>
    <w:p>
      <w:pPr>
        <w:spacing w:line="360" w:lineRule="auto"/>
        <w:ind w:firstLine="440" w:firstLineChars="200"/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磁耦合式中功率发电机规格型号：TY-ALT-300，产品模型外观图如图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3</w:t>
      </w: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所示：</w:t>
      </w:r>
    </w:p>
    <w:p>
      <w:pPr>
        <w:jc w:val="center"/>
        <w:rPr>
          <w:rFonts w:hint="eastAsia"/>
          <w:i/>
          <w:iCs/>
          <w:color w:val="FF0000"/>
          <w:sz w:val="22"/>
          <w:szCs w:val="22"/>
          <w:lang w:val="en-US" w:eastAsia="zh-CN"/>
        </w:rPr>
      </w:pPr>
      <w:r>
        <w:rPr>
          <w:rFonts w:hint="eastAsia"/>
          <w:i/>
          <w:iCs/>
          <w:color w:val="FF0000"/>
          <w:sz w:val="22"/>
          <w:szCs w:val="22"/>
          <w:lang w:val="en-US" w:eastAsia="zh-CN"/>
        </w:rPr>
        <w:drawing>
          <wp:inline distT="0" distB="0" distL="114300" distR="114300">
            <wp:extent cx="3917950" cy="1101090"/>
            <wp:effectExtent l="0" t="0" r="6350" b="3810"/>
            <wp:docPr id="30" name="图片 30" descr="4e6d4db00d8641fab5fdb24bdb43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4e6d4db00d8641fab5fdb24bdb4356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3700145" cy="1141095"/>
            <wp:effectExtent l="0" t="0" r="14605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图3 磁耦合式中功率发电机模型外观图</w:t>
      </w:r>
    </w:p>
    <w:p>
      <w:pPr>
        <w:spacing w:line="360" w:lineRule="auto"/>
        <w:ind w:firstLine="440" w:firstLineChars="200"/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</w:pPr>
    </w:p>
    <w:p>
      <w:pPr>
        <w:spacing w:line="360" w:lineRule="auto"/>
        <w:ind w:firstLine="440" w:firstLineChars="200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 w:val="0"/>
          <w:bCs w:val="0"/>
          <w:sz w:val="22"/>
          <w:szCs w:val="22"/>
          <w:lang w:val="en-US" w:eastAsia="zh-CN" w:bidi="ar-SA"/>
        </w:rPr>
        <w:t>磁耦合式中功率发电机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的机械接口和外形尺寸要求如图4所示：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168265" cy="3641725"/>
            <wp:effectExtent l="0" t="0" r="13335" b="1587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图4 磁耦合式中功率发电机机械接口和外形尺寸图</w:t>
      </w:r>
    </w:p>
    <w:p>
      <w:pPr>
        <w:spacing w:line="360" w:lineRule="auto"/>
        <w:ind w:firstLine="440" w:firstLineChars="200"/>
        <w:rPr>
          <w:rFonts w:hint="eastAsia" w:ascii="宋体" w:cs="宋体"/>
          <w:color w:val="000000"/>
          <w:sz w:val="22"/>
          <w:lang w:val="zh-CN"/>
        </w:rPr>
      </w:pPr>
    </w:p>
    <w:p>
      <w:pPr>
        <w:spacing w:line="360" w:lineRule="auto"/>
        <w:ind w:firstLine="440" w:firstLineChars="200"/>
        <w:rPr>
          <w:rFonts w:hint="eastAsia" w:ascii="宋体" w:cs="宋体"/>
          <w:color w:val="000000"/>
          <w:sz w:val="22"/>
          <w:lang w:val="zh-CN"/>
        </w:rPr>
      </w:pPr>
      <w:r>
        <w:rPr>
          <w:rFonts w:hint="eastAsia" w:ascii="宋体" w:cs="宋体"/>
          <w:color w:val="000000"/>
          <w:sz w:val="22"/>
          <w:lang w:val="zh-CN"/>
        </w:rPr>
        <w:t>磁耦合式中功率发电机外壳采用1</w:t>
      </w:r>
      <w:r>
        <w:rPr>
          <w:rFonts w:ascii="宋体" w:cs="宋体"/>
          <w:color w:val="000000"/>
          <w:sz w:val="22"/>
          <w:lang w:val="zh-CN"/>
        </w:rPr>
        <w:t>7-4</w:t>
      </w:r>
      <w:r>
        <w:rPr>
          <w:rFonts w:hint="eastAsia" w:ascii="宋体" w:cs="宋体"/>
          <w:color w:val="000000"/>
          <w:sz w:val="22"/>
          <w:lang w:val="zh-CN"/>
        </w:rPr>
        <w:t>PH（H1025态）材料，</w:t>
      </w:r>
      <w:r>
        <w:rPr>
          <w:rFonts w:hint="eastAsia" w:ascii="宋体" w:cs="宋体"/>
          <w:color w:val="000000"/>
          <w:sz w:val="22"/>
          <w:lang w:val="en-US" w:eastAsia="zh-CN"/>
        </w:rPr>
        <w:t>需</w:t>
      </w:r>
      <w:r>
        <w:rPr>
          <w:rFonts w:hint="eastAsia" w:ascii="宋体" w:cs="宋体"/>
          <w:color w:val="000000"/>
          <w:sz w:val="22"/>
          <w:lang w:val="zh-CN"/>
        </w:rPr>
        <w:t>满足</w:t>
      </w:r>
      <w:r>
        <w:rPr>
          <w:rFonts w:hint="eastAsia" w:ascii="宋体" w:cs="宋体"/>
          <w:color w:val="000000"/>
          <w:sz w:val="22"/>
          <w:lang w:val="en-US" w:eastAsia="zh-CN"/>
        </w:rPr>
        <w:t>技术</w:t>
      </w:r>
      <w:r>
        <w:rPr>
          <w:rFonts w:hint="eastAsia" w:ascii="宋体" w:cs="宋体"/>
          <w:color w:val="000000"/>
          <w:sz w:val="22"/>
          <w:lang w:val="zh-CN"/>
        </w:rPr>
        <w:t>要求</w:t>
      </w:r>
      <w:r>
        <w:rPr>
          <w:rFonts w:hint="eastAsia" w:ascii="宋体" w:cs="宋体"/>
          <w:color w:val="000000"/>
          <w:sz w:val="22"/>
          <w:lang w:val="en-US" w:eastAsia="zh-CN"/>
        </w:rPr>
        <w:t>如表3所示</w:t>
      </w:r>
      <w:r>
        <w:rPr>
          <w:rFonts w:hint="eastAsia" w:ascii="宋体" w:cs="宋体"/>
          <w:color w:val="000000"/>
          <w:sz w:val="22"/>
          <w:lang w:val="zh-CN"/>
        </w:rPr>
        <w:t>：</w:t>
      </w:r>
    </w:p>
    <w:p>
      <w:pPr>
        <w:spacing w:line="360" w:lineRule="auto"/>
        <w:jc w:val="center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表3 磁耦合式中功率发电机外壳材料技术要求</w:t>
      </w:r>
    </w:p>
    <w:tbl>
      <w:tblPr>
        <w:tblStyle w:val="4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964"/>
        <w:gridCol w:w="964"/>
        <w:gridCol w:w="964"/>
        <w:gridCol w:w="1134"/>
        <w:gridCol w:w="794"/>
        <w:gridCol w:w="850"/>
        <w:gridCol w:w="85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技术要求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抗拉强度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屈服强度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拉伸率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面积收缩率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硬度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S含量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P含量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M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 xml:space="preserve">n 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含量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Univers" w:hAnsi="Univers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  <w:t>指标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070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M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a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000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MPa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2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4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5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%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38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HRC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0.03%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0.035%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</w:rPr>
              <w:t>&lt;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</w:rPr>
              <w:t>1%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</w:p>
    <w:p>
      <w:pPr>
        <w:spacing w:line="360" w:lineRule="auto"/>
        <w:ind w:firstLine="440" w:firstLineChars="200"/>
        <w:rPr>
          <w:rFonts w:hint="eastAsia" w:ascii="宋体" w:cs="宋体"/>
          <w:color w:val="000000"/>
          <w:sz w:val="22"/>
          <w:lang w:val="zh-CN"/>
        </w:rPr>
      </w:pPr>
    </w:p>
    <w:p>
      <w:pPr>
        <w:spacing w:line="360" w:lineRule="auto"/>
        <w:ind w:firstLine="440" w:firstLineChars="200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宋体" w:cs="宋体"/>
          <w:color w:val="000000"/>
          <w:sz w:val="22"/>
          <w:lang w:val="zh-CN"/>
        </w:rPr>
        <w:t>磁耦合式中功率发电机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的电机使用德国WITTENSTEIN公司产品，电机的技术要求如表4所示：</w:t>
      </w:r>
    </w:p>
    <w:p>
      <w:pPr>
        <w:spacing w:line="360" w:lineRule="auto"/>
        <w:jc w:val="center"/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表4 磁耦合式中功率发电机电机技术要求</w:t>
      </w:r>
      <w:r>
        <w:rPr>
          <w:rFonts w:hint="eastAsia"/>
          <w:i/>
          <w:iCs/>
          <w:color w:val="FF0000"/>
          <w:sz w:val="22"/>
          <w:szCs w:val="2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4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center"/>
              <w:rPr>
                <w:rFonts w:hint="eastAsia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电机技术要求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参数指标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最大端子电压U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subscript"/>
                <w:lang w:val="en-US" w:eastAsia="zh-CN"/>
              </w:rPr>
              <w:t>tt,max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300 V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subscript"/>
                <w:lang w:val="en-US" w:eastAsia="zh-CN"/>
              </w:rPr>
              <w:t>peak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环境温度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175℃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最大绕组温度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240℃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热阻R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subscript"/>
                <w:lang w:val="en-US" w:eastAsia="zh-CN"/>
              </w:rPr>
              <w:t>th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0.58 K/W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最大电流I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subscript"/>
                <w:lang w:val="en-US" w:eastAsia="zh-CN"/>
              </w:rPr>
              <w:t>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11.0A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连续失速电流（电机模式）I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subscript"/>
                <w:lang w:val="en-US" w:eastAsia="zh-CN"/>
              </w:rPr>
              <w:t>0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4.1A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电机端子电阻R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subscript"/>
                <w:lang w:val="en-US" w:eastAsia="zh-CN"/>
              </w:rPr>
              <w:t>tt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2.36Ω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极对数P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定子质量m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2"/>
                <w:szCs w:val="22"/>
                <w:vertAlign w:val="baseline"/>
                <w:lang w:val="en-US" w:eastAsia="zh-CN"/>
              </w:rPr>
              <w:t>1.0 kg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sz w:val="22"/>
          <w:szCs w:val="22"/>
        </w:rPr>
        <w:t>★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3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小尺寸多级耦合式高功率发电机规格型号：TY-MST-ALT-500，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textAlignment w:val="auto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highlight w:val="none"/>
          <w:lang w:val="en-US" w:eastAsia="zh-CN" w:bidi="ar-SA"/>
        </w:rPr>
        <w:t>产品模型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外观如图1所示：</w:t>
      </w:r>
    </w:p>
    <w:p>
      <w:pPr>
        <w:jc w:val="center"/>
        <w:rPr>
          <w:rFonts w:hint="default" w:eastAsia="宋体"/>
          <w:highlight w:val="none"/>
          <w:lang w:val="en-US" w:eastAsia="zh-CN"/>
        </w:rPr>
      </w:pPr>
      <w:r>
        <w:rPr>
          <w:rFonts w:hint="eastAsia"/>
        </w:rPr>
        <w:drawing>
          <wp:inline distT="0" distB="0" distL="0" distR="0">
            <wp:extent cx="3956685" cy="712470"/>
            <wp:effectExtent l="0" t="0" r="5715" b="11430"/>
            <wp:docPr id="41045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5272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</w:t>
      </w:r>
    </w:p>
    <w:p>
      <w:pPr>
        <w:jc w:val="center"/>
        <w:rPr>
          <w:rFonts w:hint="default" w:eastAsia="宋体"/>
          <w:highlight w:val="none"/>
          <w:lang w:val="en-US" w:eastAsia="zh-CN"/>
        </w:rPr>
      </w:pPr>
      <w:r>
        <w:rPr>
          <w:rFonts w:hint="eastAsia"/>
        </w:rPr>
        <w:drawing>
          <wp:inline distT="0" distB="0" distL="0" distR="0">
            <wp:extent cx="3968115" cy="732790"/>
            <wp:effectExtent l="0" t="0" r="13335" b="10160"/>
            <wp:docPr id="14788734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73436" name="图片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8115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图1 小尺寸多级耦合式高功率发电机模型外观图</w:t>
      </w:r>
    </w:p>
    <w:p>
      <w:pPr>
        <w:spacing w:line="360" w:lineRule="auto"/>
        <w:ind w:firstLine="440" w:firstLineChars="200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小尺寸多级耦合式高功率发电机的机械接口和外形尺寸要求如图2所示：</w:t>
      </w:r>
    </w:p>
    <w:p>
      <w:pPr>
        <w:jc w:val="center"/>
        <w:rPr>
          <w:rFonts w:hint="default" w:eastAsia="宋体"/>
          <w:highlight w:val="none"/>
          <w:lang w:val="en-US" w:eastAsia="zh-CN"/>
        </w:rPr>
      </w:pPr>
      <w:r>
        <w:drawing>
          <wp:inline distT="0" distB="0" distL="0" distR="0">
            <wp:extent cx="4729480" cy="3347720"/>
            <wp:effectExtent l="0" t="0" r="13970" b="5080"/>
            <wp:docPr id="6244445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4456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2948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图2 小尺寸多级耦合式高功率发电机机械接口和外形尺寸图</w:t>
      </w:r>
    </w:p>
    <w:p>
      <w:pPr>
        <w:spacing w:line="360" w:lineRule="auto"/>
        <w:ind w:firstLine="440" w:firstLineChars="200"/>
        <w:rPr>
          <w:rFonts w:hint="eastAsia" w:ascii="宋体" w:cs="宋体"/>
          <w:color w:val="000000"/>
          <w:sz w:val="22"/>
          <w:lang w:val="zh-CN"/>
        </w:rPr>
      </w:pP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小尺寸多级耦合式高功率发电机</w:t>
      </w:r>
      <w:r>
        <w:rPr>
          <w:rFonts w:hint="eastAsia" w:ascii="宋体" w:cs="宋体"/>
          <w:color w:val="000000"/>
          <w:sz w:val="22"/>
          <w:lang w:val="zh-CN"/>
        </w:rPr>
        <w:t>外壳采用</w:t>
      </w:r>
      <w:r>
        <w:rPr>
          <w:rFonts w:hint="eastAsia" w:ascii="宋体" w:cs="宋体"/>
          <w:color w:val="000000"/>
          <w:sz w:val="22"/>
          <w:lang w:val="en-US" w:eastAsia="zh-CN"/>
        </w:rPr>
        <w:t>Inconcl 718</w:t>
      </w:r>
      <w:r>
        <w:rPr>
          <w:rFonts w:hint="eastAsia" w:ascii="宋体" w:cs="宋体"/>
          <w:color w:val="000000"/>
          <w:sz w:val="22"/>
          <w:lang w:val="zh-CN"/>
        </w:rPr>
        <w:t>材料，</w:t>
      </w:r>
      <w:r>
        <w:rPr>
          <w:rFonts w:hint="eastAsia" w:ascii="宋体" w:cs="宋体"/>
          <w:color w:val="000000"/>
          <w:sz w:val="22"/>
          <w:lang w:val="en-US" w:eastAsia="zh-CN"/>
        </w:rPr>
        <w:t>需</w:t>
      </w:r>
      <w:r>
        <w:rPr>
          <w:rFonts w:hint="eastAsia" w:ascii="宋体" w:cs="宋体"/>
          <w:color w:val="000000"/>
          <w:sz w:val="22"/>
          <w:lang w:val="zh-CN"/>
        </w:rPr>
        <w:t>满足</w:t>
      </w:r>
      <w:r>
        <w:rPr>
          <w:rFonts w:hint="eastAsia" w:ascii="宋体" w:cs="宋体"/>
          <w:color w:val="000000"/>
          <w:sz w:val="22"/>
          <w:lang w:val="en-US" w:eastAsia="zh-CN"/>
        </w:rPr>
        <w:t>技术</w:t>
      </w:r>
      <w:r>
        <w:rPr>
          <w:rFonts w:hint="eastAsia" w:ascii="宋体" w:cs="宋体"/>
          <w:color w:val="000000"/>
          <w:sz w:val="22"/>
          <w:lang w:val="zh-CN"/>
        </w:rPr>
        <w:t>要求</w:t>
      </w:r>
      <w:r>
        <w:rPr>
          <w:rFonts w:hint="eastAsia" w:ascii="宋体" w:cs="宋体"/>
          <w:color w:val="000000"/>
          <w:sz w:val="22"/>
          <w:lang w:val="en-US" w:eastAsia="zh-CN"/>
        </w:rPr>
        <w:t>如表1所示</w:t>
      </w:r>
      <w:r>
        <w:rPr>
          <w:rFonts w:hint="eastAsia" w:ascii="宋体" w:cs="宋体"/>
          <w:color w:val="000000"/>
          <w:sz w:val="22"/>
          <w:lang w:val="zh-CN"/>
        </w:rPr>
        <w:t>：</w:t>
      </w:r>
    </w:p>
    <w:p>
      <w:pPr>
        <w:spacing w:line="360" w:lineRule="auto"/>
        <w:jc w:val="center"/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表1 小尺寸多级耦合式高功率发电机外壳材料技术要求</w:t>
      </w:r>
    </w:p>
    <w:tbl>
      <w:tblPr>
        <w:tblStyle w:val="4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964"/>
        <w:gridCol w:w="964"/>
        <w:gridCol w:w="964"/>
        <w:gridCol w:w="1134"/>
        <w:gridCol w:w="936"/>
        <w:gridCol w:w="850"/>
        <w:gridCol w:w="850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Univers" w:hAnsi="Univers" w:cs="Times New Roman"/>
                <w:b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技术要求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抗拉强度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屈服强度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拉伸率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断面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收缩率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硬度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Ni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含量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Cr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含量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M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o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含量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Univers" w:hAnsi="Univers" w:cs="Times New Roman"/>
                <w:b/>
                <w:bCs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指标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&gt;180ksi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&gt;150ksi</w:t>
            </w:r>
          </w:p>
        </w:tc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&gt;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%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&gt;1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  <w:highlight w:val="none"/>
              </w:rPr>
              <w:t>5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%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ascii="宋体" w:cs="宋体"/>
                <w:color w:val="000000"/>
                <w:kern w:val="2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6-42</w:t>
            </w: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</w:rPr>
              <w:t>HRC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50-55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  <w:highlight w:val="none"/>
              </w:rPr>
              <w:t>%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17-21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  <w:highlight w:val="none"/>
              </w:rPr>
              <w:t>%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Univers" w:hAnsi="Univers" w:cs="Times New Roman"/>
                <w:b w:val="0"/>
                <w:bCs w:val="0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2"/>
                <w:sz w:val="18"/>
                <w:szCs w:val="18"/>
                <w:highlight w:val="none"/>
                <w:lang w:val="en-US" w:eastAsia="zh-CN"/>
              </w:rPr>
              <w:t>2.8-3.3</w:t>
            </w:r>
            <w:r>
              <w:rPr>
                <w:rFonts w:ascii="宋体" w:cs="宋体"/>
                <w:color w:val="000000"/>
                <w:kern w:val="2"/>
                <w:sz w:val="18"/>
                <w:szCs w:val="18"/>
                <w:highlight w:val="none"/>
              </w:rPr>
              <w:t>%</w:t>
            </w:r>
          </w:p>
        </w:tc>
      </w:tr>
    </w:tbl>
    <w:p>
      <w:pPr>
        <w:spacing w:line="360" w:lineRule="auto"/>
        <w:ind w:firstLine="440" w:firstLineChars="200"/>
        <w:rPr>
          <w:rFonts w:hint="eastAsia" w:ascii="宋体" w:cs="宋体"/>
          <w:color w:val="000000"/>
          <w:sz w:val="22"/>
          <w:lang w:val="zh-CN"/>
        </w:rPr>
      </w:pPr>
    </w:p>
    <w:p>
      <w:pPr>
        <w:spacing w:line="360" w:lineRule="auto"/>
        <w:ind w:firstLine="440" w:firstLineChars="200"/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</w:pPr>
      <w:r>
        <w:rPr>
          <w:rFonts w:hint="eastAsia" w:ascii="宋体" w:cs="宋体"/>
          <w:color w:val="000000"/>
          <w:sz w:val="22"/>
          <w:lang w:val="zh-CN"/>
        </w:rPr>
        <w:t>小尺寸多级耦合式高功率发电机</w:t>
      </w:r>
      <w:r>
        <w:rPr>
          <w:rFonts w:hint="eastAsia" w:ascii="Univers" w:hAnsi="Univers" w:cs="Times New Roman"/>
          <w:b w:val="0"/>
          <w:bCs w:val="0"/>
          <w:sz w:val="22"/>
          <w:szCs w:val="22"/>
          <w:lang w:val="en-US" w:eastAsia="zh-CN" w:bidi="ar-SA"/>
        </w:rPr>
        <w:t>的电机使用德国WITTENSTEIN公司产品，电机的技术要求如表2所示：</w:t>
      </w:r>
    </w:p>
    <w:p>
      <w:pPr>
        <w:spacing w:line="360" w:lineRule="auto"/>
        <w:jc w:val="center"/>
      </w:pPr>
      <w:r>
        <w:rPr>
          <w:rFonts w:hint="eastAsia" w:ascii="Univers" w:hAnsi="Univers" w:cs="Times New Roman"/>
          <w:b w:val="0"/>
          <w:bCs w:val="0"/>
          <w:sz w:val="21"/>
          <w:szCs w:val="21"/>
          <w:lang w:val="en-US" w:eastAsia="zh-CN" w:bidi="ar-SA"/>
        </w:rPr>
        <w:t>表2 小尺寸多级耦合式高功率发电机电机技术要求</w:t>
      </w:r>
      <w:r>
        <w:rPr>
          <w:rFonts w:hint="eastAsia"/>
          <w:i/>
          <w:iCs/>
          <w:color w:val="FF0000"/>
          <w:sz w:val="22"/>
          <w:szCs w:val="2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4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35" w:type="dxa"/>
            <w:vAlign w:val="center"/>
          </w:tcPr>
          <w:p>
            <w:pPr>
              <w:jc w:val="center"/>
              <w:rPr>
                <w:rFonts w:hint="default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/>
              </w:rPr>
              <w:t>电机技术要求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default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/>
              </w:rPr>
              <w:t>参数指标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直流母线电压U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 xml:space="preserve"> DC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250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扭矩常数K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m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0.241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Nm/A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电压常数K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e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0.197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Vs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电机常数K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mot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0.274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Nm/</w:t>
            </w:r>
            <m:oMath>
              <m:rad>
                <m:radPr>
                  <m:degHide m:val="1"/>
                  <m:ctrlPr>
                    <w:rPr>
                      <w:rFonts w:hint="default" w:ascii="Cambria Math" w:hAnsi="Cambria Math" w:cs="Times New Roman"/>
                      <w:i w:val="0"/>
                      <w:i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/>
                    </w:rPr>
                  </m:ctrlPr>
                </m:radPr>
                <m:deg>
                  <m:ctrlPr>
                    <w:rPr>
                      <w:rFonts w:hint="default" w:ascii="Cambria Math" w:hAnsi="Cambria Math" w:cs="Times New Roman"/>
                      <w:i w:val="0"/>
                      <w:i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/>
                    </w:rPr>
                  </m:ctrlPr>
                </m:deg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 w:eastAsia="zh-CN"/>
                    </w:rPr>
                    <m:t>w</m:t>
                  </m:r>
                  <m:ctrlPr>
                    <w:rPr>
                      <w:rFonts w:hint="default" w:ascii="Cambria Math" w:hAnsi="Cambria Math" w:cs="Times New Roman"/>
                      <w:i w:val="0"/>
                      <w:iCs w:val="0"/>
                      <w:color w:val="auto"/>
                      <w:kern w:val="2"/>
                      <w:sz w:val="21"/>
                      <w:szCs w:val="21"/>
                      <w:highlight w:val="none"/>
                      <w:vertAlign w:val="baseline"/>
                      <w:lang w:val="en-US"/>
                    </w:rPr>
                  </m:ctrlPr>
                </m:e>
              </m:rad>
            </m:oMath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环境温度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175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最大绕组温度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热阻R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th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0.44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K/W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最大功率P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3231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最大转矩M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2.84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Nm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最大电流I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max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12.0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连续失速转矩M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0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2.40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Nm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连续失速电流I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0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10.1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空载转速n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0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12111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min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perscript"/>
                <w:lang w:val="en-US" w:eastAsia="zh-CN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额定功率P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2126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额定转矩M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1.75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Nm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额定电流I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7.78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额定转速n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n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11600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min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perscript"/>
                <w:lang w:val="en-US" w:eastAsia="zh-CN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相间电阻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tt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0.52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相间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电感L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bscript"/>
                <w:lang w:val="en-US" w:eastAsia="zh-CN"/>
              </w:rPr>
              <w:t>tt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1.40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mH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电时间常数τe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2.70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极对数P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惯性活动部件J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8.5E-05 kgm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质量m</w:t>
            </w:r>
          </w:p>
        </w:tc>
        <w:tc>
          <w:tcPr>
            <w:tcW w:w="2835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/>
              </w:rPr>
              <w:t>3.0 kg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4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导轮连接轴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1）规格型号：A1500100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材质：铜合金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外形尺寸：长259mm，最大外径50mm，M36*1.5\M24*2连接外螺纹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示意图：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3833495" cy="1608455"/>
            <wp:effectExtent l="0" t="0" r="14605" b="10795"/>
            <wp:docPr id="13712845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84516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3349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上轴承分总成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材质：合金钢、弹簧钢、轴承钢等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外形尺寸：长45mm，最大外径49.8mm 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示意图：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2340610" cy="2101850"/>
            <wp:effectExtent l="0" t="0" r="2540" b="12700"/>
            <wp:docPr id="1163600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00928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6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轴承座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1）规格型号：A1500401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外形尺寸：长45mm，最大外径45.55mm，M36*1 对接螺纹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drawing>
          <wp:inline distT="0" distB="0" distL="0" distR="0">
            <wp:extent cx="2467610" cy="2015490"/>
            <wp:effectExtent l="0" t="0" r="8890" b="3810"/>
            <wp:docPr id="527363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363546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7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螺套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1）规格型号：A1500402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外形尺寸：长20mm，最大外径41.50mm，M36*1 对接螺纹</w:t>
      </w:r>
    </w:p>
    <w:p>
      <w:pPr>
        <w:spacing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882775" cy="1739900"/>
            <wp:effectExtent l="0" t="0" r="3175" b="12700"/>
            <wp:docPr id="713850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5056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8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轴承密封盖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1）规格型号：A1500403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耐温：100℃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材质：锌压铸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外形尺寸：最大外径42mm，最小内径24.5mm 厚度0.2mm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779905" cy="2165350"/>
            <wp:effectExtent l="0" t="0" r="10795" b="6350"/>
            <wp:docPr id="7444282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28247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9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径向轴承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1）规格型号：A1500404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材质：轴承钢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极限转速：17000R/min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外形尺寸：最大外径42mm，最小内径20mm厚度12mm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623060" cy="1704340"/>
            <wp:effectExtent l="0" t="0" r="15240" b="10160"/>
            <wp:docPr id="402898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98045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10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间隙垫片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1）规格型号：A1500405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耐温：100℃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材质：锌压铸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外形尺寸：最大外径42mm，最小内径29mm厚度3mm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918970" cy="1912620"/>
            <wp:effectExtent l="0" t="0" r="5080" b="11430"/>
            <wp:docPr id="4565688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568812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11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多层无耳挡圈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1）规格型号：A1500406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挡圈剪切力：64573N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外形尺寸：最大外径42mm，层数2层，挡圈厚度1.69mm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2441575" cy="1342390"/>
            <wp:effectExtent l="0" t="0" r="15875" b="10160"/>
            <wp:docPr id="1406384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84512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12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公差环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1）规格型号：N91645510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材质：不锈钢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外形尺寸：最大外径45mm，宽度10mm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888490" cy="1881505"/>
            <wp:effectExtent l="0" t="0" r="16510" b="4445"/>
            <wp:docPr id="1656679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79659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5.2.1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3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间隙垫片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1）规格型号：A1500408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材质：轴承钢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外形尺寸：最大外径50mm，最小内径40.5mm，厚度1.5mm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859915" cy="1579245"/>
            <wp:effectExtent l="0" t="0" r="6985" b="1905"/>
            <wp:docPr id="1049365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65138" name="图片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5.2.1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4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波簧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1）规格型号：A1500409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负荷：90磅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材质：轴承钢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外形尺寸：工作高度0.197英寸，自由高度0.375英寸，层数3层，每层厚度0.024英寸，配合孔径2英寸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2385695" cy="949960"/>
            <wp:effectExtent l="0" t="0" r="14605" b="2540"/>
            <wp:docPr id="6473632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63203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5.2.1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多层无耳挡圈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1）规格型号：A1500410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材质：轴承钢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外形尺寸：最大外径40mm，层数2层，厚度1.69mm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810385" cy="995680"/>
            <wp:effectExtent l="0" t="0" r="18415" b="13970"/>
            <wp:docPr id="663214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14465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5.2.1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6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磁力耦合器内圈组件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1）规格型号：A1500500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外形尺寸：长155.55mm，最大外径40.48mm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3143885" cy="1407795"/>
            <wp:effectExtent l="0" t="0" r="18415" b="1905"/>
            <wp:docPr id="696516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516771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★5.2.1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7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转子轴总成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1）规格型号：A1500600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</w:t>
      </w:r>
      <w:r>
        <w:rPr>
          <w:rFonts w:hint="eastAsia" w:ascii="宋体" w:hAnsi="宋体" w:cs="宋体"/>
          <w:sz w:val="22"/>
          <w:szCs w:val="22"/>
          <w:lang w:val="en-US" w:eastAsia="zh-CN"/>
        </w:rPr>
        <w:t>50</w:t>
      </w:r>
      <w:r>
        <w:rPr>
          <w:rFonts w:hint="eastAsia" w:ascii="宋体" w:hAnsi="宋体" w:eastAsia="宋体" w:cs="宋体"/>
          <w:sz w:val="22"/>
          <w:szCs w:val="22"/>
        </w:rPr>
        <w:t>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外形尺寸：长271.7mm，最大外径34.75mm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2780030" cy="1037590"/>
            <wp:effectExtent l="0" t="0" r="1270" b="10160"/>
            <wp:docPr id="629843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43771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5.2.1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8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轴承支撑座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1）规格型号：A1500700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外形尺寸：长202.5mm，最大外径75mm，M36*1.5、M67*1.5对接螺纹，超音速喷涂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2722245" cy="1395730"/>
            <wp:effectExtent l="0" t="0" r="1905" b="13970"/>
            <wp:docPr id="218551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51976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5.2.1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9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定子外壳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1）规格型号：A1500900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外形尺寸：长333.7mm，最大外径75mm，M67*1.5对接螺纹 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3253105" cy="1324610"/>
            <wp:effectExtent l="0" t="0" r="4445" b="8890"/>
            <wp:docPr id="1695069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69610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★5.2.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20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定子（绕组）总成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1）规格型号：A1501000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耐温：150℃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额定电流：8.3A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额定输出功率：1.33Kw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额定电压：93.4V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额定电阻：1.53Ω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3473450" cy="1288415"/>
            <wp:effectExtent l="0" t="0" r="12700" b="6985"/>
            <wp:docPr id="2018218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18918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21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下轴承分总成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1）规格型号：A1501100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耐温：200℃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材质：轴承钢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外形尺寸：最大外径47mm，最小内径20mm，厚度20.6mm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969770" cy="1939925"/>
            <wp:effectExtent l="0" t="0" r="11430" b="3175"/>
            <wp:docPr id="636976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76594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22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七芯连接器座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1）规格型号：A1501200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材质：轴承钢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外形尺寸：长157.85mm，最大外径63.85mm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2273300" cy="1615440"/>
            <wp:effectExtent l="0" t="0" r="12700" b="3810"/>
            <wp:docPr id="249125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25295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5.2.2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3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七芯连接器（母头）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1）规格型号：A1501400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耐温：200℃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材质：PEEK、铍铜、氟橡胶等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外形尺寸：长56.79mm，最大外径21.72mm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4639310" cy="2343785"/>
            <wp:effectExtent l="0" t="0" r="8890" b="18415"/>
            <wp:docPr id="1952426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26378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5.2.2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4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底部连接壳体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1）规格型号：A1501600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材质：PEEK、铍铜、氟橡胶等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外形尺寸：长173.5mm，最大外径75.4mm，M58*2、M67*1.5对接螺纹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2976245" cy="1438275"/>
            <wp:effectExtent l="0" t="0" r="14605" b="9525"/>
            <wp:docPr id="676042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42712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5.2.2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主轴弹簧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1）规格型号：A1501700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材质：弹簧钢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外形尺寸：长42.5mm，最大外径50mm，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keepNext w:val="0"/>
        <w:keepLines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510665" cy="1616075"/>
            <wp:effectExtent l="0" t="0" r="1333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5.2.2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6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挡圈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1）规格型号：A1501800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外形尺寸：最大外径56mm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927860" cy="1798955"/>
            <wp:effectExtent l="0" t="0" r="15240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5.2.2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 xml:space="preserve">7 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推力球轴承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1）规格型号：A1501900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材质：轴承钢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外形尺寸：厚度12mm，最大外径52mm，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126490" cy="1591945"/>
            <wp:effectExtent l="0" t="0" r="16510" b="82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47"/>
                    <a:srcRect t="16739" r="8745"/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5.2.2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8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公差环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1）规格型号：A91664910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材质：不锈钢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外形尺寸：最大外径64mm，宽度10mm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661795" cy="1656080"/>
            <wp:effectExtent l="0" t="0" r="14605" b="1270"/>
            <wp:docPr id="2633872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87227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5.2.2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9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公差环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1）规格型号：A91658312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材质：不锈钢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外形尺寸：最大外径58mm，宽度10mm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778000" cy="1771015"/>
            <wp:effectExtent l="0" t="0" r="12700" b="635"/>
            <wp:docPr id="728800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00836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30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硬质合金轴承定环（下）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1）规格型号：A1502200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材质：硬质合金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外形尺寸:长度21.8mm，最大外径65mm，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035810" cy="1862455"/>
            <wp:effectExtent l="0" t="0" r="2540" b="44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31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磁力耦合器外圈组件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1）规格型号：A1502300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材质：合金钢、铜合金、磁钢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外形尺寸:长度244.15mm，最大外径75mm，M52*1连接外螺纹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865120" cy="1506855"/>
            <wp:effectExtent l="0" t="0" r="11430" b="1714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32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硬质合金轴承动环（下）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1）规格型号：A1502306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材质：硬质合金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外形尺寸:长度18mm，最大外径70.14mm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750060" cy="1575435"/>
            <wp:effectExtent l="0" t="0" r="2540" b="571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5.2.3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3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钢丝挡圈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1）规格型号：N9077025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材质：不锈钢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外形尺寸:线径3.2mm，最大外径69mm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751330" cy="1757045"/>
            <wp:effectExtent l="0" t="0" r="1270" b="1460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5.2.3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4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平键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1）规格型号：A1502600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材质：硬质合金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外形尺寸:长40mm，宽6mm，厚度6mm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089785" cy="1312545"/>
            <wp:effectExtent l="0" t="0" r="5715" b="190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5.2.3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PEEK卡环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1）规格型号：A1502700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材质：peek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外形尺寸:长7mm，最大外径26mm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983740" cy="2011680"/>
            <wp:effectExtent l="0" t="0" r="16510" b="762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5.2.3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6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硬质合金轴承定环（上）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1）规格型号：A1502800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材质：硬质合金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外形尺寸:长27mm，最大外径42.3mm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drawing>
          <wp:inline distT="0" distB="0" distL="114300" distR="114300">
            <wp:extent cx="2041525" cy="1959610"/>
            <wp:effectExtent l="0" t="0" r="15875" b="2540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5.2.3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7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硬质合金轴承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动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环（上）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1）规格型号：A1502900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材质：硬质合金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外形尺寸:长35mm，最大外径49.96mm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308225" cy="1643380"/>
            <wp:effectExtent l="0" t="0" r="15875" b="13970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5.2.3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8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PDC轴承（大）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1）规格型号：A1503000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材质：PDC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外形尺寸:长6.5mm，最大外径49.96mm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011680" cy="1958975"/>
            <wp:effectExtent l="0" t="0" r="7620" b="3175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5.2.3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 xml:space="preserve">9 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PDC轴承（小）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1）规格型号：A1503100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材质：PDC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外形尺寸:长6.5mm，最大外径42mm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199640" cy="2272665"/>
            <wp:effectExtent l="0" t="0" r="10160" b="13335"/>
            <wp:docPr id="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40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硬质合金轴承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1）规格型号：A1503200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材质：硬质合金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外形尺寸：长7mm，最大外径41mm，最小内径25.5.1mm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924050" cy="20129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>5.2.</w:t>
      </w: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41</w:t>
      </w:r>
      <w:r>
        <w:rPr>
          <w:rFonts w:hint="eastAsia" w:ascii="Univers" w:hAnsi="Univers" w:eastAsia="宋体" w:cs="Times New Roman"/>
          <w:b/>
          <w:bCs/>
          <w:sz w:val="22"/>
          <w:szCs w:val="22"/>
          <w:lang w:val="en-US" w:eastAsia="zh-CN" w:bidi="ar-SA"/>
        </w:rPr>
        <w:t xml:space="preserve"> 隔环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1）规格型号：A1503300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外形尺寸：长11.75mm，最大外径30.90mm，内径25.10mm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636395" cy="1459865"/>
            <wp:effectExtent l="0" t="0" r="1905" b="6985"/>
            <wp:docPr id="458915268" name="图片 458915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15268" name="图片 45891526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b/>
          <w:bCs w:val="0"/>
          <w:sz w:val="22"/>
          <w:szCs w:val="22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5.2.42 硬质合金薄型背</w:t>
      </w:r>
      <w:r>
        <w:rPr>
          <w:rFonts w:hint="eastAsia" w:ascii="宋体" w:hAnsi="宋体" w:eastAsia="宋体" w:cs="宋体"/>
          <w:b/>
          <w:bCs w:val="0"/>
          <w:sz w:val="22"/>
          <w:szCs w:val="22"/>
        </w:rPr>
        <w:t>挡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1）规格型号：A1503400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外形尺寸：长3mm，外径49.96mm，内径32mm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170940" cy="1350645"/>
            <wp:effectExtent l="0" t="0" r="1016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5.2.43 导轮卡座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1）规格型号：A1503500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外形尺寸：长10mm，最大外径45mm，内径25.10mm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348105" cy="1715770"/>
            <wp:effectExtent l="0" t="0" r="4445" b="177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5.2.44</w:t>
      </w:r>
      <w:r>
        <w:rPr>
          <w:rFonts w:hint="eastAsia"/>
        </w:rPr>
        <w:t xml:space="preserve"> 备圈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1）规格型号：N8010144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2）主要技术参数：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耐温：175℃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抗振：频率范围：5 Hz～200 Hz;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抗冲击：加速度：4900 m/s2；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耐压：140Mpa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尺寸：OD 67,96 X B1,40 X W2,23mm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3）产品图：</w:t>
      </w:r>
    </w:p>
    <w:p>
      <w:pPr>
        <w:rPr>
          <w:rFonts w:hint="eastAsia"/>
        </w:rPr>
      </w:pPr>
      <w:r>
        <w:drawing>
          <wp:inline distT="0" distB="0" distL="0" distR="0">
            <wp:extent cx="1764030" cy="2099310"/>
            <wp:effectExtent l="0" t="0" r="7620" b="15240"/>
            <wp:docPr id="732179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79341" name="图片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773179" cy="210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5.2.45</w:t>
      </w:r>
      <w:r>
        <w:rPr>
          <w:rFonts w:hint="eastAsia"/>
        </w:rPr>
        <w:t xml:space="preserve"> 单芯插针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1）规格型号：HT001346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2）主要技术参数：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耐温：200℃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最大电流：10A（355℉），3A（396℉）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电阻：10,000 MOhm @500 VDC3）</w:t>
      </w:r>
    </w:p>
    <w:p>
      <w:pPr>
        <w:spacing w:line="360" w:lineRule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）产品图：</w:t>
      </w:r>
    </w:p>
    <w:p>
      <w:pPr>
        <w:rPr>
          <w:rFonts w:hint="eastAsia"/>
        </w:rPr>
      </w:pPr>
    </w:p>
    <w:p>
      <w:pPr>
        <w:pStyle w:val="2"/>
        <w:numPr>
          <w:ilvl w:val="1"/>
          <w:numId w:val="0"/>
        </w:num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1362075"/>
            <wp:effectExtent l="0" t="0" r="4445" b="9525"/>
            <wp:docPr id="33" name="图片 33" descr="40afd25984f21613146ceb65e4b6a2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40afd25984f21613146ceb65e4b6a21c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5.2.46 调整垫片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1）规格型号：A1503700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外形尺寸：长6mm，最大外径75.40mm，内径68.05mm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563370" cy="1671955"/>
            <wp:effectExtent l="0" t="0" r="1778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5.2.47 保护套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1）规格型号：A1503800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12.5及以上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外形尺寸：长109mm，最大外径60mm，最小内径43mm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350135" cy="1452880"/>
            <wp:effectExtent l="0" t="0" r="12065" b="13970"/>
            <wp:docPr id="233204568" name="图片 233204568" descr="c8fb90c23539b430e178bbc736d4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04568" name="图片 233204568" descr="c8fb90c23539b430e178bbc736d4475"/>
                    <pic:cNvPicPr>
                      <a:picLocks noChangeAspect="1"/>
                    </pic:cNvPicPr>
                  </pic:nvPicPr>
                  <pic:blipFill>
                    <a:blip r:embed="rId65"/>
                    <a:srcRect l="15667" t="30160" r="19252" b="12903"/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5.2.48 公差环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1）规格型号：N91624515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外形尺寸：最大外径64mm，宽10mm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0" distR="0">
            <wp:extent cx="1888490" cy="1881505"/>
            <wp:effectExtent l="0" t="0" r="16510" b="4445"/>
            <wp:docPr id="1296813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13608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5.2.49 卡环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1）规格型号：N9075825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材质：不锈钢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外形尺寸：最大外径62.4mm，线径2.5mm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617980" cy="1873250"/>
            <wp:effectExtent l="0" t="0" r="1270" b="12700"/>
            <wp:docPr id="1328452046" name="图片 132845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452046" name="图片 132845204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5.2.50 螺纹保护套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1）规格型号：A1504400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外形尺寸：长120mm,最大外径60mm，M 24 x 2  BOX 内螺纹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371090" cy="1224280"/>
            <wp:effectExtent l="0" t="0" r="0" b="0"/>
            <wp:docPr id="16" name="图片 16" descr="55eb72cd00b1a1615f2d47b7f91e2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5eb72cd00b1a1615f2d47b7f91e2b9"/>
                    <pic:cNvPicPr>
                      <a:picLocks noChangeAspect="1"/>
                    </pic:cNvPicPr>
                  </pic:nvPicPr>
                  <pic:blipFill>
                    <a:blip r:embed="rId67"/>
                    <a:srcRect l="5299" t="23012" r="15237" b="18224"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5.2.51 螺纹保护套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1）规格型号：A1504500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1.6及以上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外形尺寸：长55mm,最大外径70mm，M58 x 2 BOX   LEAD: 2 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244725" cy="1755140"/>
            <wp:effectExtent l="0" t="0" r="3175" b="16510"/>
            <wp:docPr id="1064212272" name="图片 1064212272" descr="828c503609fec6e479df3a5c55f11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12272" name="图片 1064212272" descr="828c503609fec6e479df3a5c55f11ad"/>
                    <pic:cNvPicPr>
                      <a:picLocks noChangeAspect="1"/>
                    </pic:cNvPicPr>
                  </pic:nvPicPr>
                  <pic:blipFill>
                    <a:blip r:embed="rId68"/>
                    <a:srcRect l="8275" t="16301" r="11333" b="8951"/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5.2.52 轴承座（下）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1）规格型号：A1504600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3.2及以上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外形尺寸：长51mm,最大外径63.985mm，内径41.50mm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2266315" cy="1911350"/>
            <wp:effectExtent l="0" t="0" r="635" b="1270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5.2.53 PEEK环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1）规格型号：A1504700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6.3及以上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材质：PEEK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外形尺寸：长15mm,最大外径53.13mm，内径47mm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960245" cy="2047240"/>
            <wp:effectExtent l="0" t="0" r="1905" b="101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5.2.54 PEEK环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1）规格型号：A1504800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6.3及以上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材质：PEEK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外形尺寸：长12mm,最大外径49.95mm，内径47.50mm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drawing>
          <wp:inline distT="0" distB="0" distL="114300" distR="114300">
            <wp:extent cx="1702435" cy="1967865"/>
            <wp:effectExtent l="0" t="0" r="12065" b="13335"/>
            <wp:docPr id="965687585" name="图片 965687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87585" name="图片 96568758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5.2.55 航空螺纹螺栓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1）规格型号：A1504900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6.3及以上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材质：合金钢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外形尺寸：长32.20mm,MJ10*1.5连接螺纹</w:t>
      </w:r>
    </w:p>
    <w:p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3）</w:t>
      </w:r>
      <w:r>
        <w:rPr>
          <w:rFonts w:hint="eastAsia" w:ascii="宋体" w:hAnsi="宋体" w:eastAsia="宋体" w:cs="宋体"/>
          <w:lang w:eastAsia="zh-CN"/>
        </w:rPr>
        <w:t>示意图</w:t>
      </w:r>
      <w:r>
        <w:rPr>
          <w:rFonts w:hint="eastAsia" w:ascii="宋体" w:hAnsi="宋体" w:eastAsia="宋体" w:cs="宋体"/>
        </w:rPr>
        <w:t>：</w:t>
      </w:r>
    </w:p>
    <w:p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2371725" cy="1671955"/>
            <wp:effectExtent l="0" t="0" r="9525" b="4445"/>
            <wp:docPr id="14721279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127919" name="图片 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宋体" w:hAnsi="宋体" w:eastAsia="宋体" w:cs="宋体"/>
        </w:rPr>
      </w:pPr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5.2.56 导轮并帽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1）规格型号：A1505000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2）主要技术参数：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耐温：175℃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抗振：频率范围：5 Hz～200 Hz;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抗冲击：加速度：4900 m/s2；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耐压：140Mpa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表面粗糙度：Ra 6.3及以上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材质：铜合金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外形尺寸：长32.30mm,MJ10*1.5连接螺纹</w:t>
      </w:r>
    </w:p>
    <w:p>
      <w:pPr>
        <w:spacing w:line="36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示意图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>
      <w:pPr>
        <w:pStyle w:val="2"/>
        <w:numPr>
          <w:ilvl w:val="1"/>
          <w:numId w:val="0"/>
        </w:num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2235835" cy="1689735"/>
            <wp:effectExtent l="0" t="0" r="12065" b="5715"/>
            <wp:docPr id="7973391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39140" name="图片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8"/>
      <w:bookmarkEnd w:id="29"/>
      <w:bookmarkStart w:id="32" w:name="_Toc46705380"/>
      <w:bookmarkStart w:id="33" w:name="_Toc25585280"/>
    </w:p>
    <w:p>
      <w:pPr>
        <w:spacing w:line="360" w:lineRule="auto"/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</w:pPr>
      <w:r>
        <w:rPr>
          <w:rFonts w:hint="eastAsia" w:ascii="Univers" w:hAnsi="Univers" w:cs="Times New Roman"/>
          <w:b/>
          <w:bCs/>
          <w:sz w:val="22"/>
          <w:szCs w:val="22"/>
          <w:lang w:val="en-US" w:eastAsia="zh-CN" w:bidi="ar-SA"/>
        </w:rPr>
        <w:t>5.2.57 泛塞封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1）主要技术参数：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耐温：175℃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抗振：频率范围：5 Hz～200 Hz;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抗冲击：加速度：4900 m/s2；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耐压：140Mpa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3）产品图：</w:t>
      </w:r>
    </w:p>
    <w:p>
      <w:pPr>
        <w:rPr>
          <w:rFonts w:hint="eastAsia"/>
        </w:rPr>
      </w:pPr>
      <w:r>
        <w:drawing>
          <wp:inline distT="0" distB="0" distL="0" distR="0">
            <wp:extent cx="4674870" cy="2308860"/>
            <wp:effectExtent l="0" t="0" r="11430" b="15240"/>
            <wp:docPr id="353495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95719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678186" cy="231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7"/>
        <w:jc w:val="both"/>
        <w:rPr>
          <w:rFonts w:hint="eastAsia"/>
        </w:rPr>
      </w:pPr>
      <w:r>
        <w:rPr>
          <w:rFonts w:hint="eastAsia"/>
        </w:rPr>
        <w:t>6.部件材料配置要求</w:t>
      </w:r>
      <w:bookmarkEnd w:id="32"/>
      <w:bookmarkEnd w:id="33"/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p>
      <w:pPr>
        <w:pStyle w:val="37"/>
        <w:jc w:val="both"/>
      </w:pPr>
      <w:bookmarkStart w:id="34" w:name="_Toc25585281"/>
      <w:bookmarkStart w:id="35" w:name="_Toc46705381"/>
      <w:r>
        <w:rPr>
          <w:rFonts w:hint="eastAsia"/>
        </w:rPr>
        <w:t>7.</w:t>
      </w:r>
      <w:r>
        <w:t>检测和试验</w:t>
      </w:r>
      <w:bookmarkEnd w:id="34"/>
      <w:bookmarkEnd w:id="35"/>
    </w:p>
    <w:p/>
    <w:p>
      <w:pPr>
        <w:pStyle w:val="12"/>
        <w:spacing w:line="360" w:lineRule="auto"/>
        <w:rPr>
          <w:rFonts w:ascii="Arial" w:cs="Arial"/>
          <w:sz w:val="22"/>
          <w:szCs w:val="22"/>
        </w:rPr>
      </w:pPr>
      <w:bookmarkStart w:id="36" w:name="_Toc46705382"/>
      <w:bookmarkStart w:id="37" w:name="_Toc51599934"/>
      <w:bookmarkStart w:id="38" w:name="_Toc25067022"/>
      <w:r>
        <w:rPr>
          <w:rStyle w:val="79"/>
          <w:rFonts w:hint="default"/>
        </w:rPr>
        <w:t>需厂家相关技术人员与中海油服人员共同完成工具、配件的测试与试验。</w:t>
      </w:r>
    </w:p>
    <w:bookmarkEnd w:id="36"/>
    <w:bookmarkEnd w:id="37"/>
    <w:bookmarkEnd w:id="38"/>
    <w:p>
      <w:pPr>
        <w:pStyle w:val="37"/>
        <w:spacing w:line="360" w:lineRule="auto"/>
        <w:jc w:val="both"/>
      </w:pPr>
      <w:bookmarkStart w:id="39" w:name="_Toc10889"/>
      <w:bookmarkStart w:id="40" w:name="_Toc152704054"/>
      <w:bookmarkStart w:id="41" w:name="_Toc1452"/>
      <w:bookmarkStart w:id="42" w:name="_Toc46705386"/>
      <w:bookmarkStart w:id="43" w:name="_Toc25067023"/>
      <w:r>
        <w:rPr>
          <w:rFonts w:hint="eastAsia"/>
        </w:rPr>
        <w:t>8.</w:t>
      </w:r>
      <w:r>
        <w:t>铭牌/标识</w:t>
      </w:r>
      <w:r>
        <w:rPr>
          <w:rFonts w:ascii="宋体" w:hAnsi="宋体"/>
          <w:sz w:val="30"/>
          <w:szCs w:val="30"/>
        </w:rPr>
        <w:t>、</w:t>
      </w:r>
      <w:r>
        <w:rPr>
          <w:rFonts w:hint="eastAsia" w:ascii="宋体" w:hAnsi="宋体"/>
          <w:sz w:val="30"/>
          <w:szCs w:val="30"/>
        </w:rPr>
        <w:t>涂敷、包装、运输、储存</w:t>
      </w:r>
      <w:bookmarkEnd w:id="39"/>
    </w:p>
    <w:p>
      <w:pPr>
        <w:adjustRightInd w:val="0"/>
        <w:spacing w:before="120" w:after="120" w:line="360" w:lineRule="auto"/>
        <w:jc w:val="left"/>
        <w:textAlignment w:val="baseline"/>
        <w:outlineLvl w:val="1"/>
        <w:rPr>
          <w:sz w:val="22"/>
          <w:szCs w:val="22"/>
        </w:rPr>
      </w:pPr>
      <w:r>
        <w:rPr>
          <w:kern w:val="28"/>
          <w:sz w:val="22"/>
          <w:szCs w:val="22"/>
        </w:rPr>
        <w:t>8</w:t>
      </w:r>
      <w:r>
        <w:rPr>
          <w:rFonts w:hint="eastAsia"/>
          <w:kern w:val="28"/>
          <w:sz w:val="22"/>
          <w:szCs w:val="22"/>
        </w:rPr>
        <w:t>.1</w:t>
      </w:r>
      <w:r>
        <w:rPr>
          <w:rFonts w:hint="eastAsia"/>
          <w:sz w:val="22"/>
          <w:szCs w:val="22"/>
        </w:rPr>
        <w:t>标识</w:t>
      </w:r>
      <w:bookmarkEnd w:id="40"/>
      <w:bookmarkEnd w:id="41"/>
    </w:p>
    <w:p>
      <w:pPr>
        <w:pStyle w:val="12"/>
        <w:spacing w:line="360" w:lineRule="auto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>包括以下内容，但不仅限于以下内容：</w:t>
      </w:r>
    </w:p>
    <w:p>
      <w:pPr>
        <w:numPr>
          <w:ilvl w:val="0"/>
          <w:numId w:val="5"/>
        </w:numPr>
        <w:tabs>
          <w:tab w:val="left" w:pos="851"/>
          <w:tab w:val="left" w:pos="960"/>
          <w:tab w:val="left" w:pos="2880"/>
          <w:tab w:val="clear" w:pos="1259"/>
        </w:tabs>
        <w:spacing w:line="360" w:lineRule="auto"/>
        <w:ind w:left="0" w:firstLine="440" w:firstLineChars="200"/>
        <w:rPr>
          <w:sz w:val="22"/>
          <w:szCs w:val="22"/>
        </w:rPr>
      </w:pPr>
      <w:r>
        <w:rPr>
          <w:sz w:val="22"/>
          <w:szCs w:val="22"/>
        </w:rPr>
        <w:t>制造厂家</w:t>
      </w:r>
    </w:p>
    <w:p>
      <w:pPr>
        <w:numPr>
          <w:ilvl w:val="0"/>
          <w:numId w:val="5"/>
        </w:numPr>
        <w:tabs>
          <w:tab w:val="left" w:pos="851"/>
          <w:tab w:val="left" w:pos="960"/>
          <w:tab w:val="left" w:pos="2880"/>
          <w:tab w:val="clear" w:pos="1259"/>
        </w:tabs>
        <w:spacing w:line="360" w:lineRule="auto"/>
        <w:ind w:left="0" w:firstLine="440" w:firstLineChars="200"/>
        <w:rPr>
          <w:sz w:val="22"/>
          <w:szCs w:val="22"/>
        </w:rPr>
      </w:pPr>
      <w:r>
        <w:rPr>
          <w:sz w:val="22"/>
          <w:szCs w:val="22"/>
        </w:rPr>
        <w:t>制造日期</w:t>
      </w:r>
    </w:p>
    <w:p>
      <w:pPr>
        <w:numPr>
          <w:ilvl w:val="0"/>
          <w:numId w:val="5"/>
        </w:numPr>
        <w:tabs>
          <w:tab w:val="left" w:pos="851"/>
          <w:tab w:val="left" w:pos="960"/>
          <w:tab w:val="left" w:pos="2880"/>
          <w:tab w:val="clear" w:pos="1259"/>
        </w:tabs>
        <w:spacing w:line="360" w:lineRule="auto"/>
        <w:ind w:left="0" w:firstLine="440" w:firstLineChars="200"/>
        <w:rPr>
          <w:sz w:val="22"/>
          <w:szCs w:val="22"/>
        </w:rPr>
      </w:pPr>
      <w:r>
        <w:rPr>
          <w:sz w:val="22"/>
          <w:szCs w:val="22"/>
        </w:rPr>
        <w:t>名称</w:t>
      </w:r>
    </w:p>
    <w:p>
      <w:pPr>
        <w:numPr>
          <w:ilvl w:val="0"/>
          <w:numId w:val="5"/>
        </w:numPr>
        <w:tabs>
          <w:tab w:val="left" w:pos="851"/>
          <w:tab w:val="left" w:pos="960"/>
          <w:tab w:val="left" w:pos="2880"/>
          <w:tab w:val="clear" w:pos="1259"/>
        </w:tabs>
        <w:spacing w:line="360" w:lineRule="auto"/>
        <w:ind w:left="0" w:firstLine="440" w:firstLineChars="200"/>
        <w:rPr>
          <w:sz w:val="22"/>
          <w:szCs w:val="22"/>
        </w:rPr>
      </w:pPr>
      <w:r>
        <w:rPr>
          <w:rFonts w:hint="eastAsia"/>
          <w:sz w:val="22"/>
          <w:szCs w:val="22"/>
        </w:rPr>
        <w:t>规格型号</w:t>
      </w:r>
    </w:p>
    <w:p>
      <w:pPr>
        <w:adjustRightInd w:val="0"/>
        <w:spacing w:before="120" w:after="120" w:line="360" w:lineRule="auto"/>
        <w:jc w:val="left"/>
        <w:textAlignment w:val="baseline"/>
        <w:outlineLvl w:val="1"/>
        <w:rPr>
          <w:sz w:val="22"/>
          <w:szCs w:val="22"/>
        </w:rPr>
      </w:pPr>
      <w:bookmarkStart w:id="44" w:name="_Toc152704055"/>
      <w:bookmarkStart w:id="45" w:name="_Toc19001"/>
      <w:r>
        <w:rPr>
          <w:kern w:val="28"/>
          <w:sz w:val="22"/>
          <w:szCs w:val="22"/>
        </w:rPr>
        <w:t>8</w:t>
      </w:r>
      <w:r>
        <w:rPr>
          <w:rFonts w:hint="eastAsia"/>
          <w:kern w:val="28"/>
          <w:sz w:val="22"/>
          <w:szCs w:val="22"/>
        </w:rPr>
        <w:t>.</w:t>
      </w:r>
      <w:r>
        <w:rPr>
          <w:kern w:val="28"/>
          <w:sz w:val="22"/>
          <w:szCs w:val="22"/>
        </w:rPr>
        <w:t>2</w:t>
      </w:r>
      <w:r>
        <w:rPr>
          <w:rFonts w:hint="eastAsia"/>
          <w:sz w:val="22"/>
          <w:szCs w:val="22"/>
        </w:rPr>
        <w:t>包装运输</w:t>
      </w:r>
      <w:bookmarkEnd w:id="44"/>
      <w:bookmarkEnd w:id="45"/>
    </w:p>
    <w:p>
      <w:pPr>
        <w:spacing w:line="360" w:lineRule="auto"/>
        <w:ind w:firstLine="440" w:firstLineChars="200"/>
        <w:rPr>
          <w:sz w:val="22"/>
          <w:szCs w:val="22"/>
        </w:rPr>
      </w:pPr>
      <w:r>
        <w:rPr>
          <w:sz w:val="22"/>
          <w:szCs w:val="22"/>
        </w:rPr>
        <w:t>所有部件在运输过程中应当合理的包装以防机械性损坏或腐蚀。</w:t>
      </w:r>
    </w:p>
    <w:p>
      <w:pPr>
        <w:adjustRightInd w:val="0"/>
        <w:spacing w:before="120" w:after="120" w:line="360" w:lineRule="auto"/>
        <w:jc w:val="left"/>
        <w:textAlignment w:val="baseline"/>
        <w:outlineLvl w:val="1"/>
        <w:rPr>
          <w:sz w:val="22"/>
          <w:szCs w:val="22"/>
        </w:rPr>
      </w:pPr>
      <w:bookmarkStart w:id="46" w:name="_Toc29859"/>
      <w:bookmarkStart w:id="47" w:name="_Toc152704056"/>
      <w:r>
        <w:rPr>
          <w:kern w:val="28"/>
          <w:sz w:val="22"/>
          <w:szCs w:val="22"/>
        </w:rPr>
        <w:t>8</w:t>
      </w:r>
      <w:r>
        <w:rPr>
          <w:rFonts w:hint="eastAsia"/>
          <w:kern w:val="28"/>
          <w:sz w:val="22"/>
          <w:szCs w:val="22"/>
        </w:rPr>
        <w:t>.</w:t>
      </w:r>
      <w:r>
        <w:rPr>
          <w:kern w:val="28"/>
          <w:sz w:val="22"/>
          <w:szCs w:val="22"/>
        </w:rPr>
        <w:t>3</w:t>
      </w:r>
      <w:r>
        <w:rPr>
          <w:rFonts w:hint="eastAsia"/>
          <w:sz w:val="22"/>
          <w:szCs w:val="22"/>
        </w:rPr>
        <w:t>储存</w:t>
      </w:r>
      <w:bookmarkEnd w:id="46"/>
      <w:bookmarkEnd w:id="47"/>
    </w:p>
    <w:p>
      <w:pPr>
        <w:tabs>
          <w:tab w:val="left" w:pos="851"/>
          <w:tab w:val="left" w:pos="960"/>
          <w:tab w:val="left" w:pos="2880"/>
        </w:tabs>
        <w:spacing w:line="360" w:lineRule="auto"/>
        <w:ind w:firstLine="43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产品应存放在避免太阳光线直接照射、避免与液体接触、避免与臭氧和放射性物质接触的干燥室内环境。</w:t>
      </w:r>
    </w:p>
    <w:p>
      <w:pPr>
        <w:tabs>
          <w:tab w:val="left" w:pos="851"/>
          <w:tab w:val="left" w:pos="960"/>
          <w:tab w:val="left" w:pos="2880"/>
        </w:tabs>
        <w:spacing w:line="240" w:lineRule="auto"/>
        <w:rPr>
          <w:sz w:val="22"/>
          <w:szCs w:val="22"/>
        </w:rPr>
      </w:pPr>
      <w:r>
        <w:rPr>
          <w:rFonts w:hint="eastAsia" w:ascii="Cambria" w:hAnsi="Cambria" w:eastAsia="宋体" w:cs="Times New Roman"/>
          <w:b/>
          <w:bCs/>
          <w:sz w:val="32"/>
          <w:szCs w:val="32"/>
          <w:lang w:val="en-US" w:eastAsia="zh-CN" w:bidi="ar-SA"/>
        </w:rPr>
        <w:t>9.技术文件</w:t>
      </w:r>
      <w:bookmarkEnd w:id="42"/>
      <w:bookmarkEnd w:id="43"/>
      <w:bookmarkStart w:id="48" w:name="_Toc10877"/>
      <w:bookmarkStart w:id="49" w:name="_Toc22809338"/>
      <w:bookmarkStart w:id="50" w:name="_Toc30170782"/>
      <w:bookmarkStart w:id="51" w:name="_Toc16679"/>
      <w:bookmarkStart w:id="52" w:name="_Toc25067026"/>
      <w:bookmarkStart w:id="53" w:name="_Toc25067025"/>
      <w:bookmarkStart w:id="54" w:name="_Toc19694692"/>
      <w:bookmarkStart w:id="55" w:name="_Toc22809339"/>
      <w:bookmarkStart w:id="74" w:name="_GoBack"/>
      <w:bookmarkEnd w:id="74"/>
    </w:p>
    <w:p>
      <w:pPr>
        <w:pStyle w:val="2"/>
        <w:numPr>
          <w:ilvl w:val="0"/>
          <w:numId w:val="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>
        <w:rPr>
          <w:rFonts w:hint="eastAsia"/>
          <w:sz w:val="22"/>
          <w:szCs w:val="22"/>
        </w:rPr>
        <w:t>.1交付技术文件</w:t>
      </w:r>
      <w:bookmarkEnd w:id="48"/>
    </w:p>
    <w:p>
      <w:pPr>
        <w:pStyle w:val="73"/>
        <w:numPr>
          <w:ilvl w:val="0"/>
          <w:numId w:val="6"/>
        </w:numPr>
        <w:suppressAutoHyphens w:val="0"/>
        <w:spacing w:line="360" w:lineRule="auto"/>
        <w:rPr>
          <w:rFonts w:cs="Arial"/>
          <w:sz w:val="22"/>
          <w:szCs w:val="22"/>
          <w:lang w:val="en-US"/>
        </w:rPr>
      </w:pPr>
      <w:r>
        <w:rPr>
          <w:rFonts w:hint="eastAsia" w:cs="Arial"/>
          <w:sz w:val="22"/>
          <w:szCs w:val="22"/>
          <w:lang w:val="en-US"/>
        </w:rPr>
        <w:t>检验及试验</w:t>
      </w:r>
      <w:r>
        <w:rPr>
          <w:rFonts w:cs="Arial"/>
          <w:sz w:val="22"/>
          <w:szCs w:val="22"/>
          <w:lang w:val="en-US"/>
        </w:rPr>
        <w:t>报告；</w:t>
      </w:r>
    </w:p>
    <w:p>
      <w:pPr>
        <w:pStyle w:val="73"/>
        <w:numPr>
          <w:ilvl w:val="0"/>
          <w:numId w:val="0"/>
        </w:numPr>
        <w:suppressAutoHyphens w:val="0"/>
        <w:spacing w:line="360" w:lineRule="auto"/>
        <w:ind w:left="426" w:leftChars="0"/>
        <w:rPr>
          <w:rFonts w:hint="eastAsia" w:cs="Arial"/>
          <w:sz w:val="22"/>
          <w:szCs w:val="22"/>
          <w:lang w:val="en-US" w:eastAsia="zh-CN"/>
        </w:rPr>
      </w:pPr>
      <w:r>
        <w:rPr>
          <w:rFonts w:hint="eastAsia" w:cs="Arial"/>
          <w:sz w:val="22"/>
          <w:szCs w:val="22"/>
          <w:lang w:val="en-US" w:eastAsia="zh-CN"/>
        </w:rPr>
        <w:t>a.5.2.1-5.2.3项需提供装配记录；</w:t>
      </w:r>
    </w:p>
    <w:p>
      <w:pPr>
        <w:pStyle w:val="73"/>
        <w:numPr>
          <w:ilvl w:val="0"/>
          <w:numId w:val="0"/>
        </w:numPr>
        <w:suppressAutoHyphens w:val="0"/>
        <w:spacing w:line="360" w:lineRule="auto"/>
        <w:ind w:left="426" w:leftChars="0"/>
        <w:rPr>
          <w:rFonts w:hint="eastAsia" w:cs="Arial"/>
          <w:sz w:val="22"/>
          <w:szCs w:val="22"/>
          <w:lang w:val="en-US" w:eastAsia="zh-CN"/>
        </w:rPr>
      </w:pPr>
      <w:r>
        <w:rPr>
          <w:rFonts w:hint="eastAsia" w:cs="Arial"/>
          <w:sz w:val="22"/>
          <w:szCs w:val="22"/>
          <w:lang w:val="en-US" w:eastAsia="zh-CN"/>
        </w:rPr>
        <w:t>b..5.2.1-5.2.3项需提供打压报告单；</w:t>
      </w:r>
    </w:p>
    <w:p>
      <w:pPr>
        <w:pStyle w:val="73"/>
        <w:numPr>
          <w:ilvl w:val="0"/>
          <w:numId w:val="0"/>
        </w:numPr>
        <w:suppressAutoHyphens w:val="0"/>
        <w:spacing w:line="360" w:lineRule="auto"/>
        <w:ind w:left="426" w:leftChars="0"/>
        <w:rPr>
          <w:rFonts w:hint="default" w:cs="Arial"/>
          <w:sz w:val="22"/>
          <w:szCs w:val="22"/>
          <w:lang w:val="en-US" w:eastAsia="zh-CN"/>
        </w:rPr>
      </w:pPr>
      <w:r>
        <w:rPr>
          <w:rFonts w:hint="eastAsia" w:cs="Arial"/>
          <w:sz w:val="22"/>
          <w:szCs w:val="22"/>
          <w:lang w:val="en-US" w:eastAsia="zh-CN"/>
        </w:rPr>
        <w:t>c..5.2.1-5.2.3项需提供对应的电测报告；</w:t>
      </w:r>
    </w:p>
    <w:p>
      <w:pPr>
        <w:pStyle w:val="73"/>
        <w:numPr>
          <w:ilvl w:val="0"/>
          <w:numId w:val="6"/>
        </w:numPr>
        <w:suppressAutoHyphens w:val="0"/>
        <w:spacing w:line="360" w:lineRule="auto"/>
        <w:rPr>
          <w:rFonts w:cs="Arial"/>
          <w:sz w:val="22"/>
          <w:szCs w:val="22"/>
          <w:lang w:val="en-US"/>
        </w:rPr>
      </w:pPr>
      <w:r>
        <w:rPr>
          <w:rFonts w:hint="eastAsia" w:cs="Arial"/>
          <w:sz w:val="22"/>
          <w:szCs w:val="22"/>
          <w:lang w:val="en-US"/>
        </w:rPr>
        <w:t>出厂合格证</w:t>
      </w:r>
      <w:r>
        <w:rPr>
          <w:rFonts w:cs="Arial"/>
          <w:sz w:val="22"/>
          <w:szCs w:val="22"/>
          <w:lang w:val="en-US"/>
        </w:rPr>
        <w:t>；</w:t>
      </w:r>
    </w:p>
    <w:p>
      <w:pPr>
        <w:pStyle w:val="73"/>
        <w:numPr>
          <w:ilvl w:val="0"/>
          <w:numId w:val="6"/>
        </w:numPr>
        <w:suppressAutoHyphens w:val="0"/>
        <w:spacing w:line="360" w:lineRule="auto"/>
        <w:rPr>
          <w:rFonts w:cs="Arial"/>
          <w:sz w:val="22"/>
          <w:szCs w:val="22"/>
          <w:lang w:val="en-US"/>
        </w:rPr>
      </w:pPr>
      <w:r>
        <w:rPr>
          <w:rFonts w:hint="eastAsia" w:cs="Arial"/>
          <w:sz w:val="22"/>
          <w:szCs w:val="22"/>
          <w:lang w:val="en-US" w:eastAsia="zh-CN"/>
        </w:rPr>
        <w:t>如果我方需要，配合提供所需</w:t>
      </w:r>
      <w:r>
        <w:rPr>
          <w:rFonts w:hint="eastAsia" w:cs="Arial"/>
          <w:sz w:val="22"/>
          <w:szCs w:val="22"/>
          <w:lang w:val="en-US"/>
        </w:rPr>
        <w:t>材质检测报告；</w:t>
      </w:r>
    </w:p>
    <w:p>
      <w:pPr>
        <w:pStyle w:val="73"/>
        <w:numPr>
          <w:ilvl w:val="0"/>
          <w:numId w:val="6"/>
        </w:numPr>
        <w:suppressAutoHyphens w:val="0"/>
        <w:spacing w:line="360" w:lineRule="auto"/>
        <w:rPr>
          <w:rFonts w:hint="eastAsia" w:cs="Arial"/>
          <w:sz w:val="22"/>
          <w:szCs w:val="22"/>
          <w:lang w:val="en-US"/>
        </w:rPr>
      </w:pPr>
      <w:r>
        <w:rPr>
          <w:rFonts w:hint="eastAsia"/>
          <w:kern w:val="2"/>
          <w:sz w:val="22"/>
          <w:szCs w:val="22"/>
        </w:rPr>
        <w:t>所有必要的过程报告。</w:t>
      </w:r>
    </w:p>
    <w:bookmarkEnd w:id="49"/>
    <w:bookmarkEnd w:id="50"/>
    <w:bookmarkEnd w:id="51"/>
    <w:bookmarkEnd w:id="52"/>
    <w:bookmarkEnd w:id="53"/>
    <w:bookmarkEnd w:id="54"/>
    <w:bookmarkEnd w:id="55"/>
    <w:p>
      <w:pPr>
        <w:pStyle w:val="37"/>
        <w:spacing w:line="240" w:lineRule="auto"/>
        <w:jc w:val="both"/>
      </w:pPr>
      <w:bookmarkStart w:id="56" w:name="_Toc2751"/>
      <w:r>
        <w:rPr>
          <w:rFonts w:hint="eastAsia"/>
        </w:rPr>
        <w:t>10.</w:t>
      </w:r>
      <w:r>
        <w:t>工作进度、监造和现场验收</w:t>
      </w:r>
      <w:bookmarkEnd w:id="56"/>
    </w:p>
    <w:p>
      <w:pPr>
        <w:pStyle w:val="34"/>
        <w:keepNext w:val="0"/>
        <w:keepLines w:val="0"/>
        <w:widowControl/>
        <w:suppressLineNumbers w:val="0"/>
        <w:spacing w:before="0" w:beforeAutospacing="0" w:after="0" w:afterAutospacing="0"/>
        <w:ind w:right="0" w:firstLine="480" w:firstLineChars="200"/>
      </w:pPr>
      <w:bookmarkStart w:id="57" w:name="_Toc3946"/>
      <w:bookmarkStart w:id="58" w:name="_Toc46705390"/>
      <w:bookmarkStart w:id="59" w:name="_Toc19694693"/>
      <w:bookmarkStart w:id="60" w:name="_Toc8741844"/>
      <w:bookmarkStart w:id="61" w:name="_Toc22809340"/>
      <w:bookmarkStart w:id="62" w:name="_Toc25067027"/>
      <w:r>
        <w:t>在合同约定货期内，送货到指定地点交货并验收，验收按照第5、7、8、9条款进行验收。其中</w:t>
      </w:r>
      <w:r>
        <w:rPr>
          <w:rFonts w:hint="eastAsia"/>
          <w:lang w:val="en-US" w:eastAsia="zh-CN"/>
        </w:rPr>
        <w:t>5.2.</w:t>
      </w:r>
      <w:r>
        <w:t>1-</w:t>
      </w:r>
      <w:r>
        <w:rPr>
          <w:rFonts w:hint="eastAsia"/>
          <w:lang w:val="en-US" w:eastAsia="zh-CN"/>
        </w:rPr>
        <w:t>5.2.</w:t>
      </w:r>
      <w:r>
        <w:t>3项，我方质检人员按需求可驻场跟踪整支装配过程，供方需配合。</w:t>
      </w:r>
    </w:p>
    <w:p>
      <w:pPr>
        <w:pStyle w:val="37"/>
        <w:spacing w:line="240" w:lineRule="auto"/>
        <w:jc w:val="both"/>
      </w:pPr>
      <w:r>
        <w:rPr>
          <w:rFonts w:hint="eastAsia"/>
        </w:rPr>
        <w:t>11.</w:t>
      </w:r>
      <w:r>
        <w:t>质量保证</w:t>
      </w:r>
      <w:bookmarkEnd w:id="57"/>
      <w:bookmarkEnd w:id="58"/>
      <w:bookmarkEnd w:id="59"/>
      <w:bookmarkEnd w:id="60"/>
      <w:bookmarkEnd w:id="61"/>
      <w:bookmarkEnd w:id="62"/>
    </w:p>
    <w:p>
      <w:pPr>
        <w:spacing w:line="240" w:lineRule="auto"/>
      </w:pPr>
    </w:p>
    <w:p>
      <w:pPr>
        <w:adjustRightInd w:val="0"/>
        <w:spacing w:before="120" w:after="120" w:line="240" w:lineRule="auto"/>
        <w:jc w:val="left"/>
        <w:textAlignment w:val="baseline"/>
        <w:outlineLvl w:val="1"/>
        <w:rPr>
          <w:sz w:val="22"/>
          <w:szCs w:val="22"/>
        </w:rPr>
      </w:pPr>
      <w:bookmarkStart w:id="63" w:name="_Toc152703903"/>
      <w:bookmarkStart w:id="64" w:name="_Toc152704060"/>
      <w:bookmarkStart w:id="65" w:name="_Toc15182"/>
      <w:bookmarkStart w:id="66" w:name="_Toc22809341"/>
      <w:bookmarkStart w:id="67" w:name="_Toc11232"/>
      <w:bookmarkStart w:id="68" w:name="_Toc25067028"/>
      <w:bookmarkStart w:id="69" w:name="_Toc19694694"/>
      <w:bookmarkStart w:id="70" w:name="_Toc8741845"/>
      <w:bookmarkStart w:id="71" w:name="_Toc46705391"/>
      <w:r>
        <w:rPr>
          <w:kern w:val="28"/>
          <w:sz w:val="22"/>
          <w:szCs w:val="22"/>
        </w:rPr>
        <w:t>11</w:t>
      </w:r>
      <w:r>
        <w:rPr>
          <w:rFonts w:hint="eastAsia"/>
          <w:kern w:val="28"/>
          <w:sz w:val="22"/>
          <w:szCs w:val="22"/>
        </w:rPr>
        <w:t>.1</w:t>
      </w:r>
      <w:bookmarkEnd w:id="63"/>
      <w:r>
        <w:rPr>
          <w:rFonts w:hint="eastAsia"/>
          <w:sz w:val="22"/>
          <w:szCs w:val="22"/>
        </w:rPr>
        <w:t>质量保证</w:t>
      </w:r>
      <w:bookmarkEnd w:id="64"/>
      <w:bookmarkEnd w:id="65"/>
    </w:p>
    <w:p>
      <w:pPr>
        <w:pStyle w:val="12"/>
        <w:spacing w:line="360" w:lineRule="auto"/>
        <w:rPr>
          <w:rFonts w:hint="eastAsia" w:ascii="Arial" w:cs="Arial"/>
          <w:sz w:val="22"/>
          <w:szCs w:val="22"/>
        </w:rPr>
      </w:pPr>
      <w:r>
        <w:rPr>
          <w:rFonts w:hint="eastAsia" w:ascii="Arial" w:cs="Arial"/>
          <w:sz w:val="22"/>
          <w:szCs w:val="22"/>
        </w:rPr>
        <w:t>供方应保证其提供的产品是全新的、未使用过的，并在各方面符合招标条款规定的内容。</w:t>
      </w:r>
    </w:p>
    <w:p>
      <w:pPr>
        <w:pStyle w:val="12"/>
        <w:spacing w:line="360" w:lineRule="auto"/>
        <w:rPr>
          <w:rFonts w:hint="eastAsia" w:ascii="Arial" w:cs="Arial"/>
          <w:sz w:val="22"/>
          <w:szCs w:val="22"/>
        </w:rPr>
      </w:pPr>
      <w:r>
        <w:rPr>
          <w:rFonts w:hint="eastAsia" w:ascii="Arial" w:cs="Arial"/>
          <w:sz w:val="22"/>
          <w:szCs w:val="22"/>
        </w:rPr>
        <w:t>供方应保证其提供产品在质保期内使用良好，供方应明确承诺质保期不少于壹年（以招标人实际收到本次采办全部合格产品日开始算起）；</w:t>
      </w:r>
    </w:p>
    <w:p>
      <w:pPr>
        <w:pStyle w:val="12"/>
        <w:spacing w:line="360" w:lineRule="auto"/>
        <w:rPr>
          <w:rFonts w:hint="eastAsia" w:ascii="Arial" w:cs="Arial"/>
          <w:sz w:val="22"/>
          <w:szCs w:val="22"/>
        </w:rPr>
      </w:pPr>
      <w:r>
        <w:rPr>
          <w:rFonts w:hint="eastAsia" w:ascii="Arial" w:cs="Arial"/>
          <w:sz w:val="22"/>
          <w:szCs w:val="22"/>
        </w:rPr>
        <w:t>若供方提供的产品在保质期内出现质量问题，供方应承诺一个合理的时间段，在此合理的期限内供方应负责免费维修或更换。</w:t>
      </w:r>
    </w:p>
    <w:p>
      <w:pPr>
        <w:pStyle w:val="12"/>
        <w:spacing w:line="360" w:lineRule="auto"/>
        <w:rPr>
          <w:rFonts w:ascii="Arial" w:cs="Arial"/>
          <w:sz w:val="22"/>
          <w:szCs w:val="22"/>
        </w:rPr>
      </w:pPr>
      <w:r>
        <w:rPr>
          <w:rFonts w:hint="eastAsia" w:ascii="Arial" w:cs="Arial"/>
          <w:sz w:val="22"/>
          <w:szCs w:val="22"/>
        </w:rPr>
        <w:t>供方所供产品，出现的相关质量问题由供方负责。</w:t>
      </w:r>
    </w:p>
    <w:p>
      <w:pPr>
        <w:adjustRightInd w:val="0"/>
        <w:spacing w:before="120" w:after="120" w:line="360" w:lineRule="auto"/>
        <w:jc w:val="left"/>
        <w:textAlignment w:val="baseline"/>
        <w:outlineLvl w:val="1"/>
        <w:rPr>
          <w:sz w:val="22"/>
          <w:szCs w:val="22"/>
        </w:rPr>
      </w:pPr>
      <w:bookmarkStart w:id="72" w:name="_Toc152704061"/>
      <w:bookmarkStart w:id="73" w:name="_Toc17763"/>
      <w:r>
        <w:rPr>
          <w:kern w:val="28"/>
          <w:sz w:val="22"/>
          <w:szCs w:val="22"/>
        </w:rPr>
        <w:t>11</w:t>
      </w:r>
      <w:r>
        <w:rPr>
          <w:rFonts w:hint="eastAsia"/>
          <w:kern w:val="28"/>
          <w:sz w:val="22"/>
          <w:szCs w:val="22"/>
        </w:rPr>
        <w:t>.</w:t>
      </w:r>
      <w:r>
        <w:rPr>
          <w:kern w:val="28"/>
          <w:sz w:val="22"/>
          <w:szCs w:val="22"/>
        </w:rPr>
        <w:t>2</w:t>
      </w:r>
      <w:r>
        <w:rPr>
          <w:rFonts w:hint="eastAsia"/>
          <w:sz w:val="22"/>
          <w:szCs w:val="22"/>
        </w:rPr>
        <w:t>服务保证</w:t>
      </w:r>
      <w:bookmarkEnd w:id="72"/>
      <w:bookmarkEnd w:id="73"/>
    </w:p>
    <w:p>
      <w:pPr>
        <w:pStyle w:val="12"/>
        <w:spacing w:line="360" w:lineRule="auto"/>
        <w:rPr>
          <w:rFonts w:hint="eastAsia" w:ascii="Arial" w:cs="Arial"/>
          <w:sz w:val="22"/>
          <w:szCs w:val="22"/>
        </w:rPr>
      </w:pPr>
      <w:r>
        <w:rPr>
          <w:rFonts w:hint="eastAsia" w:ascii="Arial" w:cs="Arial"/>
          <w:sz w:val="22"/>
          <w:szCs w:val="22"/>
        </w:rPr>
        <w:t>供方技术人员应对招标人技术人员详细地介绍图纸、产品特性和有关注意事项，解答和解决招标人在合同范围内提出的技术问题。</w:t>
      </w:r>
    </w:p>
    <w:p>
      <w:pPr>
        <w:pStyle w:val="12"/>
        <w:spacing w:line="360" w:lineRule="auto"/>
        <w:rPr>
          <w:rFonts w:ascii="Arial" w:cs="Arial"/>
          <w:sz w:val="22"/>
          <w:szCs w:val="22"/>
        </w:rPr>
      </w:pPr>
      <w:r>
        <w:rPr>
          <w:rFonts w:hint="eastAsia" w:ascii="Arial" w:cs="Arial"/>
          <w:sz w:val="22"/>
          <w:szCs w:val="22"/>
        </w:rPr>
        <w:t>供方技术人员的技术指导应是正确的，如因错误指导而引起的产品和材料的损坏，供方应负责修复或更换，由此产生的费用由供方承担。</w:t>
      </w:r>
    </w:p>
    <w:p>
      <w:pPr>
        <w:pStyle w:val="37"/>
        <w:jc w:val="both"/>
      </w:pPr>
      <w:r>
        <w:rPr>
          <w:rFonts w:hint="eastAsia"/>
        </w:rPr>
        <w:t>12.</w:t>
      </w:r>
      <w:r>
        <w:t>售后服务</w:t>
      </w:r>
      <w:bookmarkEnd w:id="66"/>
      <w:bookmarkEnd w:id="67"/>
      <w:bookmarkEnd w:id="68"/>
      <w:bookmarkEnd w:id="69"/>
      <w:bookmarkEnd w:id="70"/>
      <w:bookmarkEnd w:id="71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>
      <w:pPr>
        <w:pStyle w:val="12"/>
        <w:ind w:firstLine="480"/>
        <w:rPr>
          <w:rFonts w:hint="default" w:eastAsia="宋体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供方提供5.2.1-5.2.3项的维保手册。</w:t>
      </w:r>
    </w:p>
    <w:sectPr>
      <w:headerReference r:id="rId11" w:type="first"/>
      <w:footerReference r:id="rId14" w:type="first"/>
      <w:headerReference r:id="rId9" w:type="default"/>
      <w:footerReference r:id="rId12" w:type="default"/>
      <w:headerReference r:id="rId10" w:type="even"/>
      <w:footerReference r:id="rId13" w:type="even"/>
      <w:pgSz w:w="11907" w:h="16840"/>
      <w:pgMar w:top="1440" w:right="1134" w:bottom="1440" w:left="1701" w:header="850" w:footer="850" w:gutter="0"/>
      <w:pgNumType w:fmt="decimal" w:start="3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niver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framePr w:wrap="around" w:vAnchor="text" w:hAnchor="margin" w:xAlign="right" w:y="1"/>
      <w:ind w:left="2319" w:hanging="2319"/>
      <w:rPr>
        <w:rStyle w:val="43"/>
        <w:b w:val="0"/>
        <w:i w:val="0"/>
        <w:caps w:val="0"/>
      </w:rPr>
    </w:pPr>
    <w:r>
      <w:fldChar w:fldCharType="begin"/>
    </w:r>
    <w:r>
      <w:rPr>
        <w:rStyle w:val="43"/>
        <w:b w:val="0"/>
        <w:i w:val="0"/>
        <w:caps w:val="0"/>
      </w:rPr>
      <w:instrText xml:space="preserve">PAGE  </w:instrText>
    </w:r>
    <w:r>
      <w:fldChar w:fldCharType="separate"/>
    </w:r>
    <w:r>
      <w:rPr>
        <w:rStyle w:val="43"/>
        <w:b w:val="0"/>
        <w:i w:val="0"/>
        <w:caps w:val="0"/>
      </w:rPr>
      <w:t>18</w:t>
    </w:r>
    <w:r>
      <w:fldChar w:fldCharType="end"/>
    </w:r>
  </w:p>
  <w:p>
    <w:pPr>
      <w:pStyle w:val="29"/>
      <w:ind w:left="2319" w:right="360" w:hanging="231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pBdr>
        <w:top w:val="none" w:color="auto" w:sz="0" w:space="0"/>
      </w:pBdr>
      <w:ind w:left="2319" w:hanging="2319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9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9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pBdr>
        <w:top w:val="none" w:color="auto" w:sz="0" w:space="0"/>
      </w:pBdr>
      <w:ind w:left="2319" w:hanging="2319"/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eastAsia="楷体_GB231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none" w:color="auto" w:sz="0" w:space="0"/>
      </w:pBdr>
      <w:ind w:left="2319" w:hanging="2319"/>
      <w:jc w:val="right"/>
      <w:rPr>
        <w:rFonts w:hint="eastAsia" w:ascii="Arial" w:hAnsi="Arial" w:cs="Arial"/>
        <w:b w:val="0"/>
        <w:i w:val="0"/>
        <w:caps w:val="0"/>
        <w:sz w:val="21"/>
        <w:lang w:eastAsia="zh-CN"/>
      </w:rPr>
    </w:pPr>
  </w:p>
  <w:p>
    <w:pPr>
      <w:pStyle w:val="30"/>
      <w:pBdr>
        <w:bottom w:val="none" w:color="auto" w:sz="0" w:space="0"/>
      </w:pBdr>
      <w:ind w:left="2319" w:hanging="2319"/>
      <w:jc w:val="right"/>
      <w:rPr>
        <w:rFonts w:hint="eastAsia" w:ascii="宋体" w:hAnsi="宋体" w:eastAsia="宋体" w:cs="宋体"/>
        <w:b w:val="0"/>
        <w:bCs w:val="0"/>
        <w:i w:val="0"/>
        <w:iCs/>
        <w:sz w:val="18"/>
        <w:szCs w:val="18"/>
      </w:rPr>
    </w:pPr>
    <w:r>
      <w:rPr>
        <w:rFonts w:hint="eastAsia"/>
      </w:rPr>
      <w:drawing>
        <wp:inline distT="0" distB="0" distL="114300" distR="114300">
          <wp:extent cx="981075" cy="219075"/>
          <wp:effectExtent l="0" t="0" r="9525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</w:t>
    </w:r>
    <w:r>
      <w:rPr>
        <w:rFonts w:hint="eastAsia" w:ascii="Arial" w:hAnsi="Arial" w:cs="Arial"/>
        <w:b w:val="0"/>
        <w:i w:val="0"/>
        <w:caps w:val="0"/>
        <w:sz w:val="21"/>
        <w:lang w:eastAsia="zh-CN"/>
      </w:rPr>
      <w:tab/>
    </w:r>
    <w:r>
      <w:rPr>
        <w:rFonts w:hint="default" w:ascii="Arial" w:hAnsi="Arial" w:eastAsia="宋体" w:cs="Arial"/>
        <w:b w:val="0"/>
        <w:bCs w:val="0"/>
        <w:i w:val="0"/>
        <w:iCs/>
        <w:sz w:val="18"/>
        <w:szCs w:val="18"/>
      </w:rPr>
      <w:t>QHSE</w:t>
    </w:r>
    <w:r>
      <w:rPr>
        <w:rFonts w:hint="eastAsia" w:ascii="宋体" w:hAnsi="宋体" w:eastAsia="宋体" w:cs="宋体"/>
        <w:b w:val="0"/>
        <w:bCs w:val="0"/>
        <w:i w:val="0"/>
        <w:iCs/>
        <w:sz w:val="18"/>
        <w:szCs w:val="18"/>
      </w:rPr>
      <w:t>管理体系记录表单</w:t>
    </w:r>
  </w:p>
  <w:p>
    <w:pPr>
      <w:pStyle w:val="30"/>
      <w:pBdr>
        <w:bottom w:val="single" w:color="auto" w:sz="4" w:space="0"/>
      </w:pBdr>
      <w:ind w:left="2319" w:hanging="2319"/>
      <w:jc w:val="right"/>
      <w:rPr>
        <w:rFonts w:hint="eastAsia" w:ascii="Arial" w:hAnsi="Arial" w:eastAsia="宋体" w:cs="Arial"/>
        <w:b w:val="0"/>
        <w:i w:val="0"/>
        <w:caps w:val="0"/>
        <w:sz w:val="21"/>
        <w:lang w:eastAsia="zh-CN"/>
      </w:rPr>
    </w:pPr>
    <w:r>
      <w:rPr>
        <w:rFonts w:hint="eastAsia" w:ascii="宋体" w:hAnsi="宋体" w:eastAsia="宋体" w:cs="宋体"/>
        <w:b w:val="0"/>
        <w:bCs w:val="0"/>
        <w:i w:val="0"/>
        <w:iCs w:val="0"/>
        <w:caps w:val="0"/>
        <w:sz w:val="18"/>
        <w:szCs w:val="18"/>
      </w:rPr>
      <w:t xml:space="preserve"> </w:t>
    </w:r>
    <w:r>
      <w:rPr>
        <w:rFonts w:ascii="Arial" w:hAnsi="Arial" w:eastAsia="黑体" w:cs="Arial"/>
        <w:b w:val="0"/>
        <w:bCs w:val="0"/>
        <w:i w:val="0"/>
        <w:iCs w:val="0"/>
        <w:caps w:val="0"/>
        <w:sz w:val="18"/>
        <w:szCs w:val="18"/>
      </w:rPr>
      <w:t xml:space="preserve">QHSE </w:t>
    </w:r>
    <w:r>
      <w:rPr>
        <w:rFonts w:hint="eastAsia" w:ascii="Arial" w:hAnsi="Arial" w:eastAsia="黑体" w:cs="Arial"/>
        <w:b w:val="0"/>
        <w:bCs w:val="0"/>
        <w:i w:val="0"/>
        <w:iCs w:val="0"/>
        <w:caps w:val="0"/>
        <w:sz w:val="18"/>
        <w:szCs w:val="18"/>
      </w:rPr>
      <w:t>Management System Record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none" w:color="auto" w:sz="0" w:space="0"/>
      </w:pBdr>
      <w:ind w:left="2319" w:hanging="2319"/>
      <w:jc w:val="center"/>
      <w:rPr>
        <w:rFonts w:hint="eastAsia" w:ascii="宋体" w:hAnsi="宋体" w:eastAsia="宋体" w:cs="宋体"/>
        <w:b w:val="0"/>
        <w:bCs w:val="0"/>
        <w:i w:val="0"/>
        <w:iCs/>
        <w:sz w:val="18"/>
        <w:szCs w:val="18"/>
      </w:rPr>
    </w:pPr>
    <w:r>
      <w:rPr>
        <w:rFonts w:hint="eastAsia"/>
      </w:rPr>
      <w:drawing>
        <wp:inline distT="0" distB="0" distL="114300" distR="114300">
          <wp:extent cx="981075" cy="219075"/>
          <wp:effectExtent l="0" t="0" r="9525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 </w:t>
    </w:r>
    <w:r>
      <w:rPr>
        <w:rFonts w:hint="default" w:ascii="Arial" w:hAnsi="Arial" w:eastAsia="宋体" w:cs="Arial"/>
        <w:b w:val="0"/>
        <w:bCs w:val="0"/>
        <w:i w:val="0"/>
        <w:iCs/>
        <w:sz w:val="18"/>
        <w:szCs w:val="18"/>
      </w:rPr>
      <w:t>QHSE</w:t>
    </w:r>
    <w:r>
      <w:rPr>
        <w:rFonts w:hint="eastAsia" w:ascii="宋体" w:hAnsi="宋体" w:eastAsia="宋体" w:cs="宋体"/>
        <w:b w:val="0"/>
        <w:bCs w:val="0"/>
        <w:i w:val="0"/>
        <w:iCs/>
        <w:sz w:val="18"/>
        <w:szCs w:val="18"/>
      </w:rPr>
      <w:t>管理体系记录表单</w:t>
    </w:r>
  </w:p>
  <w:p>
    <w:pPr>
      <w:pStyle w:val="30"/>
      <w:pBdr>
        <w:bottom w:val="single" w:color="auto" w:sz="4" w:space="0"/>
      </w:pBdr>
      <w:ind w:left="2319" w:hanging="2319"/>
      <w:jc w:val="right"/>
      <w:rPr>
        <w:rFonts w:hint="default" w:ascii="Arial" w:hAnsi="Arial" w:eastAsia="黑体" w:cs="Arial"/>
        <w:b w:val="0"/>
        <w:bCs w:val="0"/>
        <w:i w:val="0"/>
        <w:iCs w:val="0"/>
        <w:caps w:val="0"/>
        <w:sz w:val="18"/>
        <w:szCs w:val="18"/>
        <w:lang w:val="en-US" w:eastAsia="zh-CN"/>
      </w:rPr>
    </w:pPr>
    <w:r>
      <w:rPr>
        <w:rFonts w:hint="eastAsia" w:ascii="宋体" w:hAnsi="宋体" w:eastAsia="宋体" w:cs="宋体"/>
        <w:b w:val="0"/>
        <w:bCs w:val="0"/>
        <w:i w:val="0"/>
        <w:iCs w:val="0"/>
        <w:caps w:val="0"/>
        <w:sz w:val="18"/>
        <w:szCs w:val="18"/>
      </w:rPr>
      <w:t xml:space="preserve"> </w:t>
    </w:r>
    <w:r>
      <w:rPr>
        <w:rFonts w:ascii="Arial" w:hAnsi="Arial" w:eastAsia="黑体" w:cs="Arial"/>
        <w:b w:val="0"/>
        <w:bCs w:val="0"/>
        <w:i w:val="0"/>
        <w:iCs w:val="0"/>
        <w:caps w:val="0"/>
        <w:sz w:val="18"/>
        <w:szCs w:val="18"/>
      </w:rPr>
      <w:t xml:space="preserve">QHSE </w:t>
    </w:r>
    <w:r>
      <w:rPr>
        <w:rFonts w:hint="eastAsia" w:ascii="Arial" w:hAnsi="Arial" w:eastAsia="黑体" w:cs="Arial"/>
        <w:b w:val="0"/>
        <w:bCs w:val="0"/>
        <w:i w:val="0"/>
        <w:iCs w:val="0"/>
        <w:caps w:val="0"/>
        <w:sz w:val="18"/>
        <w:szCs w:val="18"/>
      </w:rPr>
      <w:t>Management System Record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none" w:color="auto" w:sz="0" w:space="0"/>
      </w:pBdr>
      <w:ind w:left="2319" w:hanging="2319"/>
      <w:jc w:val="right"/>
      <w:rPr>
        <w:rFonts w:hint="eastAsia" w:ascii="宋体" w:hAnsi="宋体" w:eastAsia="宋体" w:cs="宋体"/>
        <w:b w:val="0"/>
        <w:bCs w:val="0"/>
        <w:i w:val="0"/>
        <w:iCs/>
        <w:sz w:val="18"/>
        <w:szCs w:val="18"/>
      </w:rPr>
    </w:pPr>
    <w:r>
      <w:rPr>
        <w:rFonts w:hint="eastAsia"/>
      </w:rPr>
      <w:drawing>
        <wp:inline distT="0" distB="0" distL="114300" distR="114300">
          <wp:extent cx="981075" cy="219075"/>
          <wp:effectExtent l="0" t="0" r="9525" b="952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</w:t>
    </w:r>
    <w:r>
      <w:rPr>
        <w:rFonts w:hint="eastAsia" w:ascii="Arial" w:hAnsi="Arial" w:cs="Arial"/>
        <w:b w:val="0"/>
        <w:i w:val="0"/>
        <w:caps w:val="0"/>
        <w:sz w:val="21"/>
        <w:lang w:eastAsia="zh-CN"/>
      </w:rPr>
      <w:tab/>
    </w:r>
    <w:r>
      <w:rPr>
        <w:rFonts w:hint="default" w:ascii="Arial" w:hAnsi="Arial" w:eastAsia="宋体" w:cs="Arial"/>
        <w:b w:val="0"/>
        <w:bCs w:val="0"/>
        <w:i w:val="0"/>
        <w:iCs/>
        <w:sz w:val="18"/>
        <w:szCs w:val="18"/>
      </w:rPr>
      <w:t>QHSE</w:t>
    </w:r>
    <w:r>
      <w:rPr>
        <w:rFonts w:hint="eastAsia" w:ascii="宋体" w:hAnsi="宋体" w:eastAsia="宋体" w:cs="宋体"/>
        <w:b w:val="0"/>
        <w:bCs w:val="0"/>
        <w:i w:val="0"/>
        <w:iCs/>
        <w:sz w:val="18"/>
        <w:szCs w:val="18"/>
      </w:rPr>
      <w:t>管理体系记录表单</w:t>
    </w:r>
  </w:p>
  <w:p>
    <w:pPr>
      <w:pStyle w:val="30"/>
      <w:jc w:val="right"/>
      <w:rPr>
        <w:b w:val="0"/>
        <w:i w:val="0"/>
      </w:rPr>
    </w:pPr>
    <w:r>
      <w:rPr>
        <w:rFonts w:hint="eastAsia" w:ascii="宋体" w:hAnsi="宋体" w:eastAsia="宋体" w:cs="宋体"/>
        <w:b w:val="0"/>
        <w:bCs w:val="0"/>
        <w:i w:val="0"/>
        <w:iCs w:val="0"/>
        <w:caps w:val="0"/>
        <w:sz w:val="18"/>
        <w:szCs w:val="18"/>
      </w:rPr>
      <w:t xml:space="preserve"> </w:t>
    </w:r>
    <w:r>
      <w:rPr>
        <w:rFonts w:ascii="Arial" w:hAnsi="Arial" w:eastAsia="黑体" w:cs="Arial"/>
        <w:b w:val="0"/>
        <w:bCs w:val="0"/>
        <w:i w:val="0"/>
        <w:iCs w:val="0"/>
        <w:caps w:val="0"/>
        <w:sz w:val="18"/>
        <w:szCs w:val="18"/>
      </w:rPr>
      <w:t xml:space="preserve">QHSE </w:t>
    </w:r>
    <w:r>
      <w:rPr>
        <w:rFonts w:hint="eastAsia" w:ascii="Arial" w:hAnsi="Arial" w:eastAsia="黑体" w:cs="Arial"/>
        <w:b w:val="0"/>
        <w:bCs w:val="0"/>
        <w:i w:val="0"/>
        <w:iCs w:val="0"/>
        <w:caps w:val="0"/>
        <w:sz w:val="18"/>
        <w:szCs w:val="18"/>
      </w:rPr>
      <w:t>Management System Record Form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1D8D6A"/>
    <w:multiLevelType w:val="singleLevel"/>
    <w:tmpl w:val="DA1D8D6A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E3CD5260"/>
    <w:multiLevelType w:val="singleLevel"/>
    <w:tmpl w:val="E3CD5260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FFFFFFFB"/>
    <w:multiLevelType w:val="multilevel"/>
    <w:tmpl w:val="FFFFFFFB"/>
    <w:lvl w:ilvl="0" w:tentative="0">
      <w:start w:val="1"/>
      <w:numFmt w:val="decimal"/>
      <w:pStyle w:val="3"/>
      <w:lvlText w:val="%1"/>
      <w:legacy w:legacy="1" w:legacySpace="170" w:legacyIndent="0"/>
      <w:lvlJc w:val="left"/>
      <w:rPr>
        <w:rFonts w:hint="default" w:ascii="Arial" w:hAnsi="Arial" w:cs="Arial"/>
        <w:b/>
        <w:i w:val="0"/>
        <w:sz w:val="22"/>
        <w:szCs w:val="22"/>
      </w:rPr>
    </w:lvl>
    <w:lvl w:ilvl="1" w:tentative="0">
      <w:start w:val="1"/>
      <w:numFmt w:val="decimal"/>
      <w:pStyle w:val="2"/>
      <w:lvlText w:val="%1.%2"/>
      <w:legacy w:legacy="1" w:legacySpace="170" w:legacyIndent="0"/>
      <w:lvlJc w:val="left"/>
      <w:rPr>
        <w:rFonts w:hint="default" w:ascii="Arial" w:hAnsi="Arial" w:cs="Arial"/>
        <w:b w:val="0"/>
        <w:i w:val="0"/>
        <w:sz w:val="22"/>
        <w:szCs w:val="22"/>
      </w:rPr>
    </w:lvl>
    <w:lvl w:ilvl="2" w:tentative="0">
      <w:start w:val="1"/>
      <w:numFmt w:val="decimal"/>
      <w:pStyle w:val="4"/>
      <w:lvlText w:val="%1.%2.%3"/>
      <w:legacy w:legacy="1" w:legacySpace="170" w:legacyIndent="0"/>
      <w:lvlJc w:val="left"/>
      <w:rPr>
        <w:rFonts w:hint="default" w:ascii="Arial" w:hAnsi="Arial" w:cs="Arial"/>
        <w:b w:val="0"/>
        <w:i w:val="0"/>
        <w:sz w:val="22"/>
        <w:szCs w:val="22"/>
      </w:rPr>
    </w:lvl>
    <w:lvl w:ilvl="3" w:tentative="0">
      <w:start w:val="1"/>
      <w:numFmt w:val="decimal"/>
      <w:pStyle w:val="5"/>
      <w:lvlText w:val="%1.%2.%3.%4"/>
      <w:legacy w:legacy="1" w:legacySpace="170" w:legacyIndent="0"/>
      <w:lvlJc w:val="left"/>
    </w:lvl>
    <w:lvl w:ilvl="4" w:tentative="0">
      <w:start w:val="1"/>
      <w:numFmt w:val="decimal"/>
      <w:pStyle w:val="6"/>
      <w:lvlText w:val="%1.%2.%3.%4.%5"/>
      <w:legacy w:legacy="1" w:legacySpace="170" w:legacyIndent="0"/>
      <w:lvlJc w:val="left"/>
    </w:lvl>
    <w:lvl w:ilvl="5" w:tentative="0">
      <w:start w:val="1"/>
      <w:numFmt w:val="decimal"/>
      <w:pStyle w:val="7"/>
      <w:lvlText w:val="%1.%2.%3.%4.%5.%6  "/>
      <w:legacy w:legacy="1" w:legacySpace="170" w:legacyIndent="0"/>
      <w:lvlJc w:val="left"/>
    </w:lvl>
    <w:lvl w:ilvl="6" w:tentative="0">
      <w:start w:val="1"/>
      <w:numFmt w:val="lowerLetter"/>
      <w:pStyle w:val="8"/>
      <w:lvlText w:val="%7."/>
      <w:legacy w:legacy="1" w:legacySpace="0" w:legacyIndent="397"/>
      <w:lvlJc w:val="left"/>
      <w:pPr>
        <w:ind w:left="794" w:hanging="397"/>
      </w:pPr>
    </w:lvl>
    <w:lvl w:ilvl="7" w:tentative="0">
      <w:start w:val="1"/>
      <w:numFmt w:val="upperLetter"/>
      <w:pStyle w:val="9"/>
      <w:lvlText w:val="APPENDIX  %8 "/>
      <w:legacy w:legacy="1" w:legacySpace="170" w:legacyIndent="0"/>
      <w:lvlJc w:val="center"/>
      <w:pPr>
        <w:ind w:left="397"/>
      </w:pPr>
      <w:rPr>
        <w:rFonts w:hint="default" w:ascii="Univers" w:hAnsi="Univers" w:cs="Times New Roman"/>
        <w:b/>
        <w:i/>
        <w:color w:val="000000"/>
        <w:sz w:val="28"/>
        <w:szCs w:val="28"/>
      </w:rPr>
    </w:lvl>
    <w:lvl w:ilvl="8" w:tentative="0">
      <w:start w:val="1"/>
      <w:numFmt w:val="none"/>
      <w:pStyle w:val="10"/>
      <w:lvlText w:val=""/>
      <w:legacy w:legacy="1" w:legacySpace="0" w:legacyIndent="397"/>
      <w:lvlJc w:val="left"/>
      <w:pPr>
        <w:ind w:left="794" w:hanging="397"/>
      </w:pPr>
      <w:rPr>
        <w:rFonts w:hint="default" w:ascii="Wingdings" w:hAnsi="Wingdings" w:cs="Times New Roman"/>
        <w:b/>
        <w:i w:val="0"/>
        <w:sz w:val="24"/>
        <w:szCs w:val="24"/>
      </w:rPr>
    </w:lvl>
  </w:abstractNum>
  <w:abstractNum w:abstractNumId="3">
    <w:nsid w:val="27C85ABB"/>
    <w:multiLevelType w:val="multilevel"/>
    <w:tmpl w:val="27C85ABB"/>
    <w:lvl w:ilvl="0" w:tentative="0">
      <w:start w:val="1"/>
      <w:numFmt w:val="bullet"/>
      <w:lvlText w:val=""/>
      <w:lvlJc w:val="left"/>
      <w:pPr>
        <w:tabs>
          <w:tab w:val="left" w:pos="1259"/>
        </w:tabs>
        <w:ind w:left="1440" w:hanging="7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4">
    <w:nsid w:val="61BA554E"/>
    <w:multiLevelType w:val="multilevel"/>
    <w:tmpl w:val="61BA554E"/>
    <w:lvl w:ilvl="0" w:tentative="0">
      <w:start w:val="1"/>
      <w:numFmt w:val="decimal"/>
      <w:lvlText w:val="%1)"/>
      <w:lvlJc w:val="left"/>
      <w:pPr>
        <w:ind w:left="846" w:hanging="420"/>
      </w:p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5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77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FkNjdjMDk5YjUzMDU3MjMzZTg1NWNmZmUyNzQ1NWUifQ=="/>
  </w:docVars>
  <w:rsids>
    <w:rsidRoot w:val="00172A27"/>
    <w:rsid w:val="000030CB"/>
    <w:rsid w:val="00003229"/>
    <w:rsid w:val="00003E5C"/>
    <w:rsid w:val="0000405C"/>
    <w:rsid w:val="0000469D"/>
    <w:rsid w:val="000051ED"/>
    <w:rsid w:val="00005FE0"/>
    <w:rsid w:val="000061F9"/>
    <w:rsid w:val="000077C4"/>
    <w:rsid w:val="00007ED6"/>
    <w:rsid w:val="00011788"/>
    <w:rsid w:val="00011A80"/>
    <w:rsid w:val="00011B71"/>
    <w:rsid w:val="00012E68"/>
    <w:rsid w:val="00013178"/>
    <w:rsid w:val="000139B8"/>
    <w:rsid w:val="00013A40"/>
    <w:rsid w:val="00014455"/>
    <w:rsid w:val="00014A3A"/>
    <w:rsid w:val="00015126"/>
    <w:rsid w:val="00015ECC"/>
    <w:rsid w:val="000165C9"/>
    <w:rsid w:val="00017ABA"/>
    <w:rsid w:val="00017B2E"/>
    <w:rsid w:val="00021639"/>
    <w:rsid w:val="00021907"/>
    <w:rsid w:val="000225E4"/>
    <w:rsid w:val="000235F8"/>
    <w:rsid w:val="00023735"/>
    <w:rsid w:val="0002474C"/>
    <w:rsid w:val="000251A0"/>
    <w:rsid w:val="00025701"/>
    <w:rsid w:val="000257C7"/>
    <w:rsid w:val="00025935"/>
    <w:rsid w:val="00025EA6"/>
    <w:rsid w:val="00026EA8"/>
    <w:rsid w:val="0002752B"/>
    <w:rsid w:val="00027697"/>
    <w:rsid w:val="00031189"/>
    <w:rsid w:val="00032503"/>
    <w:rsid w:val="00032C48"/>
    <w:rsid w:val="00033175"/>
    <w:rsid w:val="00034A22"/>
    <w:rsid w:val="00034E3A"/>
    <w:rsid w:val="0003538C"/>
    <w:rsid w:val="000364D2"/>
    <w:rsid w:val="00036CF5"/>
    <w:rsid w:val="00037BF5"/>
    <w:rsid w:val="00041295"/>
    <w:rsid w:val="000413FB"/>
    <w:rsid w:val="0004254E"/>
    <w:rsid w:val="000436DC"/>
    <w:rsid w:val="0004454B"/>
    <w:rsid w:val="0004459A"/>
    <w:rsid w:val="000447F2"/>
    <w:rsid w:val="00044ACA"/>
    <w:rsid w:val="000470ED"/>
    <w:rsid w:val="00047824"/>
    <w:rsid w:val="00051DB4"/>
    <w:rsid w:val="00052C29"/>
    <w:rsid w:val="0005363E"/>
    <w:rsid w:val="00054F42"/>
    <w:rsid w:val="00055155"/>
    <w:rsid w:val="000552FC"/>
    <w:rsid w:val="00055D04"/>
    <w:rsid w:val="00057627"/>
    <w:rsid w:val="00057E4C"/>
    <w:rsid w:val="00057F5D"/>
    <w:rsid w:val="0006011D"/>
    <w:rsid w:val="00060C7D"/>
    <w:rsid w:val="00060C91"/>
    <w:rsid w:val="00060E6B"/>
    <w:rsid w:val="00062FED"/>
    <w:rsid w:val="00063108"/>
    <w:rsid w:val="00063142"/>
    <w:rsid w:val="000635B1"/>
    <w:rsid w:val="000638AA"/>
    <w:rsid w:val="00063972"/>
    <w:rsid w:val="00064688"/>
    <w:rsid w:val="00066851"/>
    <w:rsid w:val="00067A9C"/>
    <w:rsid w:val="00067E34"/>
    <w:rsid w:val="00067EA5"/>
    <w:rsid w:val="00071859"/>
    <w:rsid w:val="0007196F"/>
    <w:rsid w:val="00071FE1"/>
    <w:rsid w:val="00072220"/>
    <w:rsid w:val="0007283C"/>
    <w:rsid w:val="00072B8E"/>
    <w:rsid w:val="000737D1"/>
    <w:rsid w:val="00074595"/>
    <w:rsid w:val="00081191"/>
    <w:rsid w:val="00081263"/>
    <w:rsid w:val="000814DC"/>
    <w:rsid w:val="00081968"/>
    <w:rsid w:val="000820C3"/>
    <w:rsid w:val="00085110"/>
    <w:rsid w:val="0008693C"/>
    <w:rsid w:val="00086A68"/>
    <w:rsid w:val="000875F5"/>
    <w:rsid w:val="00087952"/>
    <w:rsid w:val="00087A6B"/>
    <w:rsid w:val="000903DF"/>
    <w:rsid w:val="00091AFA"/>
    <w:rsid w:val="00091C4B"/>
    <w:rsid w:val="000920D2"/>
    <w:rsid w:val="00092C15"/>
    <w:rsid w:val="000943F0"/>
    <w:rsid w:val="00094861"/>
    <w:rsid w:val="00094DAC"/>
    <w:rsid w:val="0009547B"/>
    <w:rsid w:val="00095B07"/>
    <w:rsid w:val="00096CF5"/>
    <w:rsid w:val="000979C4"/>
    <w:rsid w:val="000A05BD"/>
    <w:rsid w:val="000A1FAF"/>
    <w:rsid w:val="000A3423"/>
    <w:rsid w:val="000A3B82"/>
    <w:rsid w:val="000A3D13"/>
    <w:rsid w:val="000A3FE5"/>
    <w:rsid w:val="000A41F0"/>
    <w:rsid w:val="000A456D"/>
    <w:rsid w:val="000A48F0"/>
    <w:rsid w:val="000A4A10"/>
    <w:rsid w:val="000A4B88"/>
    <w:rsid w:val="000A5452"/>
    <w:rsid w:val="000A66F0"/>
    <w:rsid w:val="000A6A85"/>
    <w:rsid w:val="000B068E"/>
    <w:rsid w:val="000B0872"/>
    <w:rsid w:val="000B1323"/>
    <w:rsid w:val="000B13AE"/>
    <w:rsid w:val="000B15D1"/>
    <w:rsid w:val="000B244F"/>
    <w:rsid w:val="000B2469"/>
    <w:rsid w:val="000B24DE"/>
    <w:rsid w:val="000B256C"/>
    <w:rsid w:val="000B284E"/>
    <w:rsid w:val="000B29FE"/>
    <w:rsid w:val="000B2B21"/>
    <w:rsid w:val="000B556A"/>
    <w:rsid w:val="000B5A15"/>
    <w:rsid w:val="000B63EA"/>
    <w:rsid w:val="000B6DD3"/>
    <w:rsid w:val="000C06AB"/>
    <w:rsid w:val="000C1318"/>
    <w:rsid w:val="000C2C4D"/>
    <w:rsid w:val="000C3066"/>
    <w:rsid w:val="000C3ED3"/>
    <w:rsid w:val="000C3F15"/>
    <w:rsid w:val="000C4DAF"/>
    <w:rsid w:val="000C5242"/>
    <w:rsid w:val="000C540A"/>
    <w:rsid w:val="000C5731"/>
    <w:rsid w:val="000C69BC"/>
    <w:rsid w:val="000C6DEE"/>
    <w:rsid w:val="000C7782"/>
    <w:rsid w:val="000D0A1E"/>
    <w:rsid w:val="000D14C0"/>
    <w:rsid w:val="000D363E"/>
    <w:rsid w:val="000D3722"/>
    <w:rsid w:val="000D5FBC"/>
    <w:rsid w:val="000D693C"/>
    <w:rsid w:val="000D70A7"/>
    <w:rsid w:val="000D7168"/>
    <w:rsid w:val="000D7E90"/>
    <w:rsid w:val="000E0407"/>
    <w:rsid w:val="000E0FD1"/>
    <w:rsid w:val="000E1013"/>
    <w:rsid w:val="000E16DB"/>
    <w:rsid w:val="000E194B"/>
    <w:rsid w:val="000E1AD6"/>
    <w:rsid w:val="000E1FC2"/>
    <w:rsid w:val="000E1FCF"/>
    <w:rsid w:val="000E30C9"/>
    <w:rsid w:val="000E3AC7"/>
    <w:rsid w:val="000E4BF8"/>
    <w:rsid w:val="000E5A22"/>
    <w:rsid w:val="000E72D3"/>
    <w:rsid w:val="000E7836"/>
    <w:rsid w:val="000F06EB"/>
    <w:rsid w:val="000F088E"/>
    <w:rsid w:val="000F0AA7"/>
    <w:rsid w:val="000F0EDD"/>
    <w:rsid w:val="000F1445"/>
    <w:rsid w:val="000F1D48"/>
    <w:rsid w:val="000F2179"/>
    <w:rsid w:val="000F2366"/>
    <w:rsid w:val="000F4806"/>
    <w:rsid w:val="000F4D47"/>
    <w:rsid w:val="000F6491"/>
    <w:rsid w:val="000F6504"/>
    <w:rsid w:val="000F688F"/>
    <w:rsid w:val="000F68A6"/>
    <w:rsid w:val="000F7127"/>
    <w:rsid w:val="000F745E"/>
    <w:rsid w:val="000F7CE9"/>
    <w:rsid w:val="0010019D"/>
    <w:rsid w:val="00100FAE"/>
    <w:rsid w:val="001018CF"/>
    <w:rsid w:val="00101FF5"/>
    <w:rsid w:val="00102245"/>
    <w:rsid w:val="0010242D"/>
    <w:rsid w:val="00102E95"/>
    <w:rsid w:val="00103A85"/>
    <w:rsid w:val="00103C2F"/>
    <w:rsid w:val="0010442A"/>
    <w:rsid w:val="001048F8"/>
    <w:rsid w:val="001055FB"/>
    <w:rsid w:val="0010595A"/>
    <w:rsid w:val="00105EAE"/>
    <w:rsid w:val="00106964"/>
    <w:rsid w:val="00106F31"/>
    <w:rsid w:val="0010729D"/>
    <w:rsid w:val="00107ECA"/>
    <w:rsid w:val="00110800"/>
    <w:rsid w:val="001128D4"/>
    <w:rsid w:val="00112C3F"/>
    <w:rsid w:val="0011408A"/>
    <w:rsid w:val="001142A8"/>
    <w:rsid w:val="001149F7"/>
    <w:rsid w:val="00115020"/>
    <w:rsid w:val="0011549F"/>
    <w:rsid w:val="00116E22"/>
    <w:rsid w:val="00116E35"/>
    <w:rsid w:val="001202D8"/>
    <w:rsid w:val="0012096E"/>
    <w:rsid w:val="001218D6"/>
    <w:rsid w:val="00122125"/>
    <w:rsid w:val="0012225B"/>
    <w:rsid w:val="0012270F"/>
    <w:rsid w:val="001228F0"/>
    <w:rsid w:val="0012360D"/>
    <w:rsid w:val="00123F81"/>
    <w:rsid w:val="00124490"/>
    <w:rsid w:val="0012454C"/>
    <w:rsid w:val="001247F6"/>
    <w:rsid w:val="001251B2"/>
    <w:rsid w:val="001251F2"/>
    <w:rsid w:val="0012547D"/>
    <w:rsid w:val="0012552D"/>
    <w:rsid w:val="00125846"/>
    <w:rsid w:val="0012594A"/>
    <w:rsid w:val="00126052"/>
    <w:rsid w:val="00126267"/>
    <w:rsid w:val="0012696D"/>
    <w:rsid w:val="00126BDD"/>
    <w:rsid w:val="00127858"/>
    <w:rsid w:val="001279BE"/>
    <w:rsid w:val="00127EC9"/>
    <w:rsid w:val="001309B1"/>
    <w:rsid w:val="00130C49"/>
    <w:rsid w:val="001313AF"/>
    <w:rsid w:val="00131CBA"/>
    <w:rsid w:val="001320D5"/>
    <w:rsid w:val="00133A85"/>
    <w:rsid w:val="00133AC7"/>
    <w:rsid w:val="00133C74"/>
    <w:rsid w:val="00133F5C"/>
    <w:rsid w:val="00134435"/>
    <w:rsid w:val="001367E3"/>
    <w:rsid w:val="00136F25"/>
    <w:rsid w:val="001375DD"/>
    <w:rsid w:val="001376C7"/>
    <w:rsid w:val="001409F0"/>
    <w:rsid w:val="00140D52"/>
    <w:rsid w:val="00141522"/>
    <w:rsid w:val="00142025"/>
    <w:rsid w:val="00142FB0"/>
    <w:rsid w:val="00143CE1"/>
    <w:rsid w:val="00143D3C"/>
    <w:rsid w:val="00144DD1"/>
    <w:rsid w:val="00145175"/>
    <w:rsid w:val="00145580"/>
    <w:rsid w:val="00146BE5"/>
    <w:rsid w:val="001470D9"/>
    <w:rsid w:val="00147804"/>
    <w:rsid w:val="00147D3C"/>
    <w:rsid w:val="00147DA7"/>
    <w:rsid w:val="00147E1C"/>
    <w:rsid w:val="001509F8"/>
    <w:rsid w:val="00150B24"/>
    <w:rsid w:val="001510CF"/>
    <w:rsid w:val="001517F2"/>
    <w:rsid w:val="00151C6F"/>
    <w:rsid w:val="00152014"/>
    <w:rsid w:val="0015204D"/>
    <w:rsid w:val="0015269D"/>
    <w:rsid w:val="00153D14"/>
    <w:rsid w:val="00154B22"/>
    <w:rsid w:val="00154C2A"/>
    <w:rsid w:val="0015509C"/>
    <w:rsid w:val="001555F8"/>
    <w:rsid w:val="001556E4"/>
    <w:rsid w:val="0015593B"/>
    <w:rsid w:val="00155C34"/>
    <w:rsid w:val="00156DBD"/>
    <w:rsid w:val="00157BC7"/>
    <w:rsid w:val="00157F7C"/>
    <w:rsid w:val="00160B05"/>
    <w:rsid w:val="001615A9"/>
    <w:rsid w:val="001623CC"/>
    <w:rsid w:val="00162DFD"/>
    <w:rsid w:val="00163B8F"/>
    <w:rsid w:val="00163D47"/>
    <w:rsid w:val="0016528F"/>
    <w:rsid w:val="00166516"/>
    <w:rsid w:val="00167B4A"/>
    <w:rsid w:val="00170422"/>
    <w:rsid w:val="00170A25"/>
    <w:rsid w:val="00170E65"/>
    <w:rsid w:val="00170E84"/>
    <w:rsid w:val="00172219"/>
    <w:rsid w:val="001726FE"/>
    <w:rsid w:val="00172A27"/>
    <w:rsid w:val="001738A2"/>
    <w:rsid w:val="001738BA"/>
    <w:rsid w:val="00173C0A"/>
    <w:rsid w:val="0017454E"/>
    <w:rsid w:val="00177D0B"/>
    <w:rsid w:val="00177DC4"/>
    <w:rsid w:val="001819CD"/>
    <w:rsid w:val="00183095"/>
    <w:rsid w:val="001834A7"/>
    <w:rsid w:val="00183FB5"/>
    <w:rsid w:val="001847B2"/>
    <w:rsid w:val="00184978"/>
    <w:rsid w:val="00185E53"/>
    <w:rsid w:val="001862AC"/>
    <w:rsid w:val="00187385"/>
    <w:rsid w:val="0018738E"/>
    <w:rsid w:val="00190E8A"/>
    <w:rsid w:val="001928A9"/>
    <w:rsid w:val="00193F77"/>
    <w:rsid w:val="0019409F"/>
    <w:rsid w:val="00194C8B"/>
    <w:rsid w:val="00195005"/>
    <w:rsid w:val="00195D9F"/>
    <w:rsid w:val="00196036"/>
    <w:rsid w:val="00196520"/>
    <w:rsid w:val="00196BE4"/>
    <w:rsid w:val="001970D4"/>
    <w:rsid w:val="0019757A"/>
    <w:rsid w:val="00197C65"/>
    <w:rsid w:val="00197CAC"/>
    <w:rsid w:val="00197CC3"/>
    <w:rsid w:val="001A0615"/>
    <w:rsid w:val="001A06C9"/>
    <w:rsid w:val="001A0ADC"/>
    <w:rsid w:val="001A29A4"/>
    <w:rsid w:val="001A2C02"/>
    <w:rsid w:val="001A2CF3"/>
    <w:rsid w:val="001A38F8"/>
    <w:rsid w:val="001A5A1B"/>
    <w:rsid w:val="001A708D"/>
    <w:rsid w:val="001B0ADA"/>
    <w:rsid w:val="001B13E5"/>
    <w:rsid w:val="001B1415"/>
    <w:rsid w:val="001B1417"/>
    <w:rsid w:val="001B15C4"/>
    <w:rsid w:val="001B36B0"/>
    <w:rsid w:val="001B3D4B"/>
    <w:rsid w:val="001B40AD"/>
    <w:rsid w:val="001B491E"/>
    <w:rsid w:val="001B5AAD"/>
    <w:rsid w:val="001B6961"/>
    <w:rsid w:val="001B6D27"/>
    <w:rsid w:val="001B7536"/>
    <w:rsid w:val="001B7BA0"/>
    <w:rsid w:val="001B7C15"/>
    <w:rsid w:val="001C33EC"/>
    <w:rsid w:val="001C34EE"/>
    <w:rsid w:val="001C490E"/>
    <w:rsid w:val="001C4FD9"/>
    <w:rsid w:val="001C5441"/>
    <w:rsid w:val="001C613A"/>
    <w:rsid w:val="001C73E2"/>
    <w:rsid w:val="001D0876"/>
    <w:rsid w:val="001D0D23"/>
    <w:rsid w:val="001D232F"/>
    <w:rsid w:val="001D3480"/>
    <w:rsid w:val="001D3C3D"/>
    <w:rsid w:val="001D421A"/>
    <w:rsid w:val="001D4555"/>
    <w:rsid w:val="001D461D"/>
    <w:rsid w:val="001D4A43"/>
    <w:rsid w:val="001D4F8A"/>
    <w:rsid w:val="001D547D"/>
    <w:rsid w:val="001D63EB"/>
    <w:rsid w:val="001D678A"/>
    <w:rsid w:val="001D6992"/>
    <w:rsid w:val="001D7A4B"/>
    <w:rsid w:val="001E0036"/>
    <w:rsid w:val="001E01C9"/>
    <w:rsid w:val="001E0574"/>
    <w:rsid w:val="001E1120"/>
    <w:rsid w:val="001E1EA6"/>
    <w:rsid w:val="001E203A"/>
    <w:rsid w:val="001E2D06"/>
    <w:rsid w:val="001E45CE"/>
    <w:rsid w:val="001E49A2"/>
    <w:rsid w:val="001E49E9"/>
    <w:rsid w:val="001E4D15"/>
    <w:rsid w:val="001E549F"/>
    <w:rsid w:val="001E6604"/>
    <w:rsid w:val="001E6F56"/>
    <w:rsid w:val="001E79A0"/>
    <w:rsid w:val="001E7C04"/>
    <w:rsid w:val="001E7C2F"/>
    <w:rsid w:val="001E7E9F"/>
    <w:rsid w:val="001F0268"/>
    <w:rsid w:val="001F1352"/>
    <w:rsid w:val="001F14E4"/>
    <w:rsid w:val="001F2041"/>
    <w:rsid w:val="001F2070"/>
    <w:rsid w:val="001F4344"/>
    <w:rsid w:val="001F44E1"/>
    <w:rsid w:val="001F4B88"/>
    <w:rsid w:val="001F55FB"/>
    <w:rsid w:val="001F5992"/>
    <w:rsid w:val="001F60D8"/>
    <w:rsid w:val="001F68EB"/>
    <w:rsid w:val="001F7177"/>
    <w:rsid w:val="001F7F1E"/>
    <w:rsid w:val="001F7F73"/>
    <w:rsid w:val="00200BDA"/>
    <w:rsid w:val="0020176C"/>
    <w:rsid w:val="002023E8"/>
    <w:rsid w:val="00203F30"/>
    <w:rsid w:val="00204351"/>
    <w:rsid w:val="0020576F"/>
    <w:rsid w:val="002057F2"/>
    <w:rsid w:val="002059E4"/>
    <w:rsid w:val="002064A4"/>
    <w:rsid w:val="00206672"/>
    <w:rsid w:val="00207F33"/>
    <w:rsid w:val="00211366"/>
    <w:rsid w:val="002123E8"/>
    <w:rsid w:val="002126DE"/>
    <w:rsid w:val="00212C9E"/>
    <w:rsid w:val="002140A8"/>
    <w:rsid w:val="0021507A"/>
    <w:rsid w:val="002152F0"/>
    <w:rsid w:val="002157F9"/>
    <w:rsid w:val="002159DF"/>
    <w:rsid w:val="00217CCB"/>
    <w:rsid w:val="002207A0"/>
    <w:rsid w:val="002208EE"/>
    <w:rsid w:val="00220D5B"/>
    <w:rsid w:val="00222B3F"/>
    <w:rsid w:val="00222E43"/>
    <w:rsid w:val="00223297"/>
    <w:rsid w:val="00223964"/>
    <w:rsid w:val="00224D1B"/>
    <w:rsid w:val="0022639A"/>
    <w:rsid w:val="00226C10"/>
    <w:rsid w:val="00230CFF"/>
    <w:rsid w:val="00230FE3"/>
    <w:rsid w:val="00231833"/>
    <w:rsid w:val="00233198"/>
    <w:rsid w:val="00234414"/>
    <w:rsid w:val="002350D4"/>
    <w:rsid w:val="0023524F"/>
    <w:rsid w:val="00235450"/>
    <w:rsid w:val="00236101"/>
    <w:rsid w:val="002367BC"/>
    <w:rsid w:val="00236DDD"/>
    <w:rsid w:val="002416B2"/>
    <w:rsid w:val="002427BE"/>
    <w:rsid w:val="00243C87"/>
    <w:rsid w:val="00243D67"/>
    <w:rsid w:val="0024534C"/>
    <w:rsid w:val="00245AF7"/>
    <w:rsid w:val="002463D1"/>
    <w:rsid w:val="00246441"/>
    <w:rsid w:val="0024667D"/>
    <w:rsid w:val="00247AB3"/>
    <w:rsid w:val="00247FDA"/>
    <w:rsid w:val="002501D5"/>
    <w:rsid w:val="00250B0A"/>
    <w:rsid w:val="00251847"/>
    <w:rsid w:val="00251EDE"/>
    <w:rsid w:val="002529A8"/>
    <w:rsid w:val="00253877"/>
    <w:rsid w:val="00253AD1"/>
    <w:rsid w:val="002544BB"/>
    <w:rsid w:val="00254A12"/>
    <w:rsid w:val="00255794"/>
    <w:rsid w:val="002559CA"/>
    <w:rsid w:val="00256195"/>
    <w:rsid w:val="0025673D"/>
    <w:rsid w:val="00256FAC"/>
    <w:rsid w:val="002578FF"/>
    <w:rsid w:val="0026195A"/>
    <w:rsid w:val="00261C62"/>
    <w:rsid w:val="00262C6D"/>
    <w:rsid w:val="0026340F"/>
    <w:rsid w:val="002637CB"/>
    <w:rsid w:val="002639AB"/>
    <w:rsid w:val="00265496"/>
    <w:rsid w:val="002654B5"/>
    <w:rsid w:val="002660FF"/>
    <w:rsid w:val="00266C97"/>
    <w:rsid w:val="00267383"/>
    <w:rsid w:val="002700E7"/>
    <w:rsid w:val="00270DFE"/>
    <w:rsid w:val="00271604"/>
    <w:rsid w:val="002719C5"/>
    <w:rsid w:val="00271AE5"/>
    <w:rsid w:val="00271BF5"/>
    <w:rsid w:val="0027235C"/>
    <w:rsid w:val="002723D6"/>
    <w:rsid w:val="00272DA7"/>
    <w:rsid w:val="002730C4"/>
    <w:rsid w:val="00273456"/>
    <w:rsid w:val="0027445D"/>
    <w:rsid w:val="0027447C"/>
    <w:rsid w:val="00275066"/>
    <w:rsid w:val="00275575"/>
    <w:rsid w:val="0027561C"/>
    <w:rsid w:val="002766E9"/>
    <w:rsid w:val="002767EF"/>
    <w:rsid w:val="00277570"/>
    <w:rsid w:val="00277FC5"/>
    <w:rsid w:val="00280011"/>
    <w:rsid w:val="0028009E"/>
    <w:rsid w:val="002808AD"/>
    <w:rsid w:val="00280C16"/>
    <w:rsid w:val="00280F16"/>
    <w:rsid w:val="00281435"/>
    <w:rsid w:val="002825DC"/>
    <w:rsid w:val="00282726"/>
    <w:rsid w:val="00282738"/>
    <w:rsid w:val="00282F6F"/>
    <w:rsid w:val="002832F4"/>
    <w:rsid w:val="00283414"/>
    <w:rsid w:val="0028351F"/>
    <w:rsid w:val="002837A8"/>
    <w:rsid w:val="00283E8F"/>
    <w:rsid w:val="002840E8"/>
    <w:rsid w:val="00284699"/>
    <w:rsid w:val="00284D4E"/>
    <w:rsid w:val="002868BA"/>
    <w:rsid w:val="00286F10"/>
    <w:rsid w:val="002873FF"/>
    <w:rsid w:val="00287D3C"/>
    <w:rsid w:val="00287F46"/>
    <w:rsid w:val="00287FBA"/>
    <w:rsid w:val="00292205"/>
    <w:rsid w:val="002929AF"/>
    <w:rsid w:val="00293393"/>
    <w:rsid w:val="00293EE2"/>
    <w:rsid w:val="00294092"/>
    <w:rsid w:val="002945B0"/>
    <w:rsid w:val="00295021"/>
    <w:rsid w:val="002954E0"/>
    <w:rsid w:val="002A037E"/>
    <w:rsid w:val="002A0EA8"/>
    <w:rsid w:val="002A18B8"/>
    <w:rsid w:val="002A1B7F"/>
    <w:rsid w:val="002A2D7B"/>
    <w:rsid w:val="002A3813"/>
    <w:rsid w:val="002A3B2C"/>
    <w:rsid w:val="002A3B91"/>
    <w:rsid w:val="002A5022"/>
    <w:rsid w:val="002A5243"/>
    <w:rsid w:val="002A5391"/>
    <w:rsid w:val="002A57CA"/>
    <w:rsid w:val="002A62EE"/>
    <w:rsid w:val="002A6A58"/>
    <w:rsid w:val="002A75E0"/>
    <w:rsid w:val="002A7A1C"/>
    <w:rsid w:val="002B0BBF"/>
    <w:rsid w:val="002B0D26"/>
    <w:rsid w:val="002B14D6"/>
    <w:rsid w:val="002B2255"/>
    <w:rsid w:val="002B2CB1"/>
    <w:rsid w:val="002B3107"/>
    <w:rsid w:val="002B3405"/>
    <w:rsid w:val="002B3DDB"/>
    <w:rsid w:val="002B5139"/>
    <w:rsid w:val="002B5515"/>
    <w:rsid w:val="002B575E"/>
    <w:rsid w:val="002B5A88"/>
    <w:rsid w:val="002B60D8"/>
    <w:rsid w:val="002B7964"/>
    <w:rsid w:val="002B7E61"/>
    <w:rsid w:val="002C0356"/>
    <w:rsid w:val="002C1B91"/>
    <w:rsid w:val="002C2DA4"/>
    <w:rsid w:val="002C53F6"/>
    <w:rsid w:val="002C5C2F"/>
    <w:rsid w:val="002C6AF8"/>
    <w:rsid w:val="002C6E09"/>
    <w:rsid w:val="002C6F58"/>
    <w:rsid w:val="002C755E"/>
    <w:rsid w:val="002D0DF5"/>
    <w:rsid w:val="002D15CA"/>
    <w:rsid w:val="002D18B8"/>
    <w:rsid w:val="002D1CB6"/>
    <w:rsid w:val="002D254A"/>
    <w:rsid w:val="002D2DD6"/>
    <w:rsid w:val="002D35C9"/>
    <w:rsid w:val="002D35E1"/>
    <w:rsid w:val="002D3782"/>
    <w:rsid w:val="002D52F6"/>
    <w:rsid w:val="002D5544"/>
    <w:rsid w:val="002D55B8"/>
    <w:rsid w:val="002D6AA1"/>
    <w:rsid w:val="002D72C3"/>
    <w:rsid w:val="002D7ADD"/>
    <w:rsid w:val="002D7DD0"/>
    <w:rsid w:val="002E014A"/>
    <w:rsid w:val="002E17D1"/>
    <w:rsid w:val="002E18C9"/>
    <w:rsid w:val="002E1AAB"/>
    <w:rsid w:val="002E1CA2"/>
    <w:rsid w:val="002E242C"/>
    <w:rsid w:val="002E25EE"/>
    <w:rsid w:val="002E365D"/>
    <w:rsid w:val="002E448C"/>
    <w:rsid w:val="002E488D"/>
    <w:rsid w:val="002E5308"/>
    <w:rsid w:val="002E5A79"/>
    <w:rsid w:val="002E64B3"/>
    <w:rsid w:val="002F0266"/>
    <w:rsid w:val="002F05A5"/>
    <w:rsid w:val="002F117D"/>
    <w:rsid w:val="002F27F1"/>
    <w:rsid w:val="002F29A7"/>
    <w:rsid w:val="002F2BF3"/>
    <w:rsid w:val="002F3268"/>
    <w:rsid w:val="002F3605"/>
    <w:rsid w:val="002F4915"/>
    <w:rsid w:val="002F4BC6"/>
    <w:rsid w:val="002F55B2"/>
    <w:rsid w:val="002F5E76"/>
    <w:rsid w:val="002F627A"/>
    <w:rsid w:val="002F63DA"/>
    <w:rsid w:val="002F663C"/>
    <w:rsid w:val="002F7319"/>
    <w:rsid w:val="002F7CD5"/>
    <w:rsid w:val="002F7EF0"/>
    <w:rsid w:val="0030125F"/>
    <w:rsid w:val="0030183C"/>
    <w:rsid w:val="003030DA"/>
    <w:rsid w:val="00303DE6"/>
    <w:rsid w:val="00303EBE"/>
    <w:rsid w:val="00303FE4"/>
    <w:rsid w:val="0030462A"/>
    <w:rsid w:val="00304F54"/>
    <w:rsid w:val="00305651"/>
    <w:rsid w:val="00305F53"/>
    <w:rsid w:val="0030609E"/>
    <w:rsid w:val="00306A9D"/>
    <w:rsid w:val="00311A50"/>
    <w:rsid w:val="00311B45"/>
    <w:rsid w:val="00311BDA"/>
    <w:rsid w:val="00312796"/>
    <w:rsid w:val="0031312F"/>
    <w:rsid w:val="003150AF"/>
    <w:rsid w:val="00315590"/>
    <w:rsid w:val="00316553"/>
    <w:rsid w:val="00317124"/>
    <w:rsid w:val="00317406"/>
    <w:rsid w:val="00317445"/>
    <w:rsid w:val="00317451"/>
    <w:rsid w:val="00317BE7"/>
    <w:rsid w:val="00320598"/>
    <w:rsid w:val="0032076B"/>
    <w:rsid w:val="00320E4A"/>
    <w:rsid w:val="003221CA"/>
    <w:rsid w:val="0032252F"/>
    <w:rsid w:val="0032411E"/>
    <w:rsid w:val="003243B3"/>
    <w:rsid w:val="003243E2"/>
    <w:rsid w:val="00324436"/>
    <w:rsid w:val="00324DA1"/>
    <w:rsid w:val="00324DAB"/>
    <w:rsid w:val="0032514A"/>
    <w:rsid w:val="003252EB"/>
    <w:rsid w:val="0032579A"/>
    <w:rsid w:val="00325A3A"/>
    <w:rsid w:val="003269A0"/>
    <w:rsid w:val="00327F4D"/>
    <w:rsid w:val="0033091D"/>
    <w:rsid w:val="003321FC"/>
    <w:rsid w:val="0033236A"/>
    <w:rsid w:val="00332FA0"/>
    <w:rsid w:val="00333047"/>
    <w:rsid w:val="0033546E"/>
    <w:rsid w:val="003356EB"/>
    <w:rsid w:val="003359C4"/>
    <w:rsid w:val="00335DEC"/>
    <w:rsid w:val="0033638D"/>
    <w:rsid w:val="00336B37"/>
    <w:rsid w:val="00336D09"/>
    <w:rsid w:val="00337027"/>
    <w:rsid w:val="00337EDD"/>
    <w:rsid w:val="0034008E"/>
    <w:rsid w:val="003404DF"/>
    <w:rsid w:val="00340A36"/>
    <w:rsid w:val="00340A7E"/>
    <w:rsid w:val="00341467"/>
    <w:rsid w:val="00342358"/>
    <w:rsid w:val="0034326A"/>
    <w:rsid w:val="00343811"/>
    <w:rsid w:val="00343F21"/>
    <w:rsid w:val="00344935"/>
    <w:rsid w:val="0034580A"/>
    <w:rsid w:val="00346296"/>
    <w:rsid w:val="0034653F"/>
    <w:rsid w:val="003469DD"/>
    <w:rsid w:val="00346BA2"/>
    <w:rsid w:val="00346DDB"/>
    <w:rsid w:val="00346FAC"/>
    <w:rsid w:val="0034763C"/>
    <w:rsid w:val="00347F47"/>
    <w:rsid w:val="003520C3"/>
    <w:rsid w:val="003526E9"/>
    <w:rsid w:val="0035283F"/>
    <w:rsid w:val="0035308F"/>
    <w:rsid w:val="00354277"/>
    <w:rsid w:val="003544A2"/>
    <w:rsid w:val="003562C3"/>
    <w:rsid w:val="00356755"/>
    <w:rsid w:val="00356896"/>
    <w:rsid w:val="0036011F"/>
    <w:rsid w:val="00360208"/>
    <w:rsid w:val="00360591"/>
    <w:rsid w:val="00361171"/>
    <w:rsid w:val="003611F5"/>
    <w:rsid w:val="00361AD9"/>
    <w:rsid w:val="00362C6F"/>
    <w:rsid w:val="0036347A"/>
    <w:rsid w:val="00363889"/>
    <w:rsid w:val="00364590"/>
    <w:rsid w:val="00364844"/>
    <w:rsid w:val="00364A7A"/>
    <w:rsid w:val="00364EE3"/>
    <w:rsid w:val="00364F12"/>
    <w:rsid w:val="003656A2"/>
    <w:rsid w:val="0036794A"/>
    <w:rsid w:val="00371602"/>
    <w:rsid w:val="003716FE"/>
    <w:rsid w:val="003727E6"/>
    <w:rsid w:val="00372C5F"/>
    <w:rsid w:val="003745CB"/>
    <w:rsid w:val="00374F6D"/>
    <w:rsid w:val="003754F6"/>
    <w:rsid w:val="00375BE3"/>
    <w:rsid w:val="00375E40"/>
    <w:rsid w:val="00376144"/>
    <w:rsid w:val="0038013B"/>
    <w:rsid w:val="0038128A"/>
    <w:rsid w:val="003827A4"/>
    <w:rsid w:val="00383930"/>
    <w:rsid w:val="00383E0B"/>
    <w:rsid w:val="00385A50"/>
    <w:rsid w:val="00385E05"/>
    <w:rsid w:val="00386215"/>
    <w:rsid w:val="00386805"/>
    <w:rsid w:val="00387F80"/>
    <w:rsid w:val="00390062"/>
    <w:rsid w:val="00391C96"/>
    <w:rsid w:val="0039229F"/>
    <w:rsid w:val="00393279"/>
    <w:rsid w:val="003942CE"/>
    <w:rsid w:val="00396555"/>
    <w:rsid w:val="00396A61"/>
    <w:rsid w:val="003A0A0A"/>
    <w:rsid w:val="003A0BBA"/>
    <w:rsid w:val="003A1DB6"/>
    <w:rsid w:val="003A2491"/>
    <w:rsid w:val="003A265D"/>
    <w:rsid w:val="003A28AD"/>
    <w:rsid w:val="003A4028"/>
    <w:rsid w:val="003A4377"/>
    <w:rsid w:val="003A4598"/>
    <w:rsid w:val="003A58C3"/>
    <w:rsid w:val="003A6A99"/>
    <w:rsid w:val="003B016C"/>
    <w:rsid w:val="003B03C8"/>
    <w:rsid w:val="003B12E2"/>
    <w:rsid w:val="003B27AF"/>
    <w:rsid w:val="003B2C10"/>
    <w:rsid w:val="003B3BAB"/>
    <w:rsid w:val="003B3C09"/>
    <w:rsid w:val="003B3FD7"/>
    <w:rsid w:val="003B459F"/>
    <w:rsid w:val="003B5081"/>
    <w:rsid w:val="003B5322"/>
    <w:rsid w:val="003B5D78"/>
    <w:rsid w:val="003B6059"/>
    <w:rsid w:val="003B61A9"/>
    <w:rsid w:val="003B69A7"/>
    <w:rsid w:val="003B6A62"/>
    <w:rsid w:val="003C040F"/>
    <w:rsid w:val="003C1E8E"/>
    <w:rsid w:val="003C1EE4"/>
    <w:rsid w:val="003C2037"/>
    <w:rsid w:val="003C30A9"/>
    <w:rsid w:val="003C41D7"/>
    <w:rsid w:val="003C44DE"/>
    <w:rsid w:val="003C4AE9"/>
    <w:rsid w:val="003C577C"/>
    <w:rsid w:val="003C5DBA"/>
    <w:rsid w:val="003C5EA1"/>
    <w:rsid w:val="003C6FE6"/>
    <w:rsid w:val="003C70A3"/>
    <w:rsid w:val="003C7217"/>
    <w:rsid w:val="003D021B"/>
    <w:rsid w:val="003D0315"/>
    <w:rsid w:val="003D1E17"/>
    <w:rsid w:val="003D58EE"/>
    <w:rsid w:val="003D5DCE"/>
    <w:rsid w:val="003D5FE1"/>
    <w:rsid w:val="003D647A"/>
    <w:rsid w:val="003D66B0"/>
    <w:rsid w:val="003D6F50"/>
    <w:rsid w:val="003D6F98"/>
    <w:rsid w:val="003D706D"/>
    <w:rsid w:val="003D7903"/>
    <w:rsid w:val="003D7A2A"/>
    <w:rsid w:val="003E19AF"/>
    <w:rsid w:val="003E1D85"/>
    <w:rsid w:val="003E2DEE"/>
    <w:rsid w:val="003E3973"/>
    <w:rsid w:val="003E4381"/>
    <w:rsid w:val="003E509E"/>
    <w:rsid w:val="003E5462"/>
    <w:rsid w:val="003E6430"/>
    <w:rsid w:val="003E659E"/>
    <w:rsid w:val="003E68B1"/>
    <w:rsid w:val="003E69D4"/>
    <w:rsid w:val="003F0894"/>
    <w:rsid w:val="003F1753"/>
    <w:rsid w:val="003F1A09"/>
    <w:rsid w:val="003F2954"/>
    <w:rsid w:val="003F375B"/>
    <w:rsid w:val="003F37A8"/>
    <w:rsid w:val="003F4621"/>
    <w:rsid w:val="003F5992"/>
    <w:rsid w:val="003F5FD0"/>
    <w:rsid w:val="003F63DC"/>
    <w:rsid w:val="003F6B2B"/>
    <w:rsid w:val="003F76E3"/>
    <w:rsid w:val="003F7E82"/>
    <w:rsid w:val="004003F4"/>
    <w:rsid w:val="00400A2A"/>
    <w:rsid w:val="00400D7C"/>
    <w:rsid w:val="00401247"/>
    <w:rsid w:val="00402A51"/>
    <w:rsid w:val="00402E6E"/>
    <w:rsid w:val="00403223"/>
    <w:rsid w:val="00403EE5"/>
    <w:rsid w:val="00404DAF"/>
    <w:rsid w:val="00405268"/>
    <w:rsid w:val="00405A7C"/>
    <w:rsid w:val="00405BEB"/>
    <w:rsid w:val="00405CA8"/>
    <w:rsid w:val="00406D47"/>
    <w:rsid w:val="004073A1"/>
    <w:rsid w:val="0040741D"/>
    <w:rsid w:val="00407607"/>
    <w:rsid w:val="004104EF"/>
    <w:rsid w:val="00410ADE"/>
    <w:rsid w:val="00410EA1"/>
    <w:rsid w:val="0041126D"/>
    <w:rsid w:val="00411410"/>
    <w:rsid w:val="00413934"/>
    <w:rsid w:val="00413DF0"/>
    <w:rsid w:val="00415540"/>
    <w:rsid w:val="004159FA"/>
    <w:rsid w:val="00416F0E"/>
    <w:rsid w:val="004170AA"/>
    <w:rsid w:val="004170E9"/>
    <w:rsid w:val="00417713"/>
    <w:rsid w:val="00420F81"/>
    <w:rsid w:val="00421821"/>
    <w:rsid w:val="00421D2D"/>
    <w:rsid w:val="00422C4B"/>
    <w:rsid w:val="004230AE"/>
    <w:rsid w:val="00423D20"/>
    <w:rsid w:val="004248C1"/>
    <w:rsid w:val="0042568D"/>
    <w:rsid w:val="00426A53"/>
    <w:rsid w:val="00426CB2"/>
    <w:rsid w:val="0043036D"/>
    <w:rsid w:val="004314C9"/>
    <w:rsid w:val="004318B2"/>
    <w:rsid w:val="0043194C"/>
    <w:rsid w:val="00432183"/>
    <w:rsid w:val="004326D7"/>
    <w:rsid w:val="00432B73"/>
    <w:rsid w:val="00432BB2"/>
    <w:rsid w:val="0043327F"/>
    <w:rsid w:val="004341DC"/>
    <w:rsid w:val="0043430F"/>
    <w:rsid w:val="00434FFB"/>
    <w:rsid w:val="0043687E"/>
    <w:rsid w:val="00436969"/>
    <w:rsid w:val="004375DC"/>
    <w:rsid w:val="00437F0E"/>
    <w:rsid w:val="00440947"/>
    <w:rsid w:val="00441508"/>
    <w:rsid w:val="00441872"/>
    <w:rsid w:val="00441F82"/>
    <w:rsid w:val="00442C8B"/>
    <w:rsid w:val="00443120"/>
    <w:rsid w:val="004447C6"/>
    <w:rsid w:val="004448DE"/>
    <w:rsid w:val="00445AD8"/>
    <w:rsid w:val="004464E0"/>
    <w:rsid w:val="004468B9"/>
    <w:rsid w:val="00447E66"/>
    <w:rsid w:val="00447EE4"/>
    <w:rsid w:val="004507BE"/>
    <w:rsid w:val="0045095E"/>
    <w:rsid w:val="00450B58"/>
    <w:rsid w:val="00450F5E"/>
    <w:rsid w:val="004517D2"/>
    <w:rsid w:val="00451B5B"/>
    <w:rsid w:val="00452533"/>
    <w:rsid w:val="00452B17"/>
    <w:rsid w:val="00453B2B"/>
    <w:rsid w:val="00454C07"/>
    <w:rsid w:val="00454CF8"/>
    <w:rsid w:val="0045504F"/>
    <w:rsid w:val="00455225"/>
    <w:rsid w:val="00455339"/>
    <w:rsid w:val="0045657C"/>
    <w:rsid w:val="004573B8"/>
    <w:rsid w:val="004602BD"/>
    <w:rsid w:val="004606D6"/>
    <w:rsid w:val="00461C4A"/>
    <w:rsid w:val="0046389F"/>
    <w:rsid w:val="00465912"/>
    <w:rsid w:val="00465EA5"/>
    <w:rsid w:val="00466437"/>
    <w:rsid w:val="00466A37"/>
    <w:rsid w:val="00466B92"/>
    <w:rsid w:val="00467F22"/>
    <w:rsid w:val="00470067"/>
    <w:rsid w:val="00470C42"/>
    <w:rsid w:val="004717A8"/>
    <w:rsid w:val="00471845"/>
    <w:rsid w:val="00471BE7"/>
    <w:rsid w:val="00472240"/>
    <w:rsid w:val="00472C03"/>
    <w:rsid w:val="00473CAA"/>
    <w:rsid w:val="00473E29"/>
    <w:rsid w:val="00475947"/>
    <w:rsid w:val="00475F20"/>
    <w:rsid w:val="00477176"/>
    <w:rsid w:val="004778B7"/>
    <w:rsid w:val="00477E3B"/>
    <w:rsid w:val="00480478"/>
    <w:rsid w:val="00481247"/>
    <w:rsid w:val="0048127C"/>
    <w:rsid w:val="0048138D"/>
    <w:rsid w:val="00481FC5"/>
    <w:rsid w:val="004820A7"/>
    <w:rsid w:val="0048213A"/>
    <w:rsid w:val="0048397B"/>
    <w:rsid w:val="00483FDB"/>
    <w:rsid w:val="00485213"/>
    <w:rsid w:val="0048596C"/>
    <w:rsid w:val="004870BE"/>
    <w:rsid w:val="0048723F"/>
    <w:rsid w:val="00487A74"/>
    <w:rsid w:val="0049000C"/>
    <w:rsid w:val="00490854"/>
    <w:rsid w:val="00491677"/>
    <w:rsid w:val="004917E7"/>
    <w:rsid w:val="00492470"/>
    <w:rsid w:val="00492E20"/>
    <w:rsid w:val="00492F07"/>
    <w:rsid w:val="004931B1"/>
    <w:rsid w:val="00493B8A"/>
    <w:rsid w:val="00494EA2"/>
    <w:rsid w:val="00495462"/>
    <w:rsid w:val="00496ECF"/>
    <w:rsid w:val="004979FB"/>
    <w:rsid w:val="004A2B23"/>
    <w:rsid w:val="004A4137"/>
    <w:rsid w:val="004A4463"/>
    <w:rsid w:val="004A464D"/>
    <w:rsid w:val="004A4CD5"/>
    <w:rsid w:val="004A62EE"/>
    <w:rsid w:val="004A63CE"/>
    <w:rsid w:val="004A69A9"/>
    <w:rsid w:val="004A6E66"/>
    <w:rsid w:val="004A7025"/>
    <w:rsid w:val="004A7665"/>
    <w:rsid w:val="004A775D"/>
    <w:rsid w:val="004A77D3"/>
    <w:rsid w:val="004B093B"/>
    <w:rsid w:val="004B0986"/>
    <w:rsid w:val="004B1324"/>
    <w:rsid w:val="004B20D4"/>
    <w:rsid w:val="004B26F1"/>
    <w:rsid w:val="004B3DDE"/>
    <w:rsid w:val="004B4D6F"/>
    <w:rsid w:val="004B4DDE"/>
    <w:rsid w:val="004B68FF"/>
    <w:rsid w:val="004C0E4F"/>
    <w:rsid w:val="004C0EF8"/>
    <w:rsid w:val="004C1BFF"/>
    <w:rsid w:val="004C210F"/>
    <w:rsid w:val="004C21C8"/>
    <w:rsid w:val="004C2654"/>
    <w:rsid w:val="004C2995"/>
    <w:rsid w:val="004C2C3F"/>
    <w:rsid w:val="004C47AD"/>
    <w:rsid w:val="004C5715"/>
    <w:rsid w:val="004C5E20"/>
    <w:rsid w:val="004C6468"/>
    <w:rsid w:val="004C6D3F"/>
    <w:rsid w:val="004C6F73"/>
    <w:rsid w:val="004C7304"/>
    <w:rsid w:val="004C76DE"/>
    <w:rsid w:val="004D1691"/>
    <w:rsid w:val="004D1CB2"/>
    <w:rsid w:val="004D290F"/>
    <w:rsid w:val="004D3CFC"/>
    <w:rsid w:val="004D4144"/>
    <w:rsid w:val="004D41FD"/>
    <w:rsid w:val="004D42C0"/>
    <w:rsid w:val="004D4557"/>
    <w:rsid w:val="004D4A50"/>
    <w:rsid w:val="004D4B6E"/>
    <w:rsid w:val="004D5433"/>
    <w:rsid w:val="004D6149"/>
    <w:rsid w:val="004D668A"/>
    <w:rsid w:val="004D73B7"/>
    <w:rsid w:val="004D7629"/>
    <w:rsid w:val="004D7E64"/>
    <w:rsid w:val="004E0D84"/>
    <w:rsid w:val="004E12BF"/>
    <w:rsid w:val="004E12C1"/>
    <w:rsid w:val="004E18D1"/>
    <w:rsid w:val="004E2A47"/>
    <w:rsid w:val="004E2A6E"/>
    <w:rsid w:val="004E2E2F"/>
    <w:rsid w:val="004E3228"/>
    <w:rsid w:val="004E4669"/>
    <w:rsid w:val="004E4CFC"/>
    <w:rsid w:val="004E7570"/>
    <w:rsid w:val="004E75B4"/>
    <w:rsid w:val="004E7D44"/>
    <w:rsid w:val="004F21E5"/>
    <w:rsid w:val="004F297A"/>
    <w:rsid w:val="004F2BAD"/>
    <w:rsid w:val="004F3BA5"/>
    <w:rsid w:val="004F746F"/>
    <w:rsid w:val="004F7781"/>
    <w:rsid w:val="004F7A52"/>
    <w:rsid w:val="004F7AE5"/>
    <w:rsid w:val="005005BC"/>
    <w:rsid w:val="0050087E"/>
    <w:rsid w:val="005008CB"/>
    <w:rsid w:val="00501920"/>
    <w:rsid w:val="00502040"/>
    <w:rsid w:val="00502636"/>
    <w:rsid w:val="00502C26"/>
    <w:rsid w:val="0050320B"/>
    <w:rsid w:val="00503232"/>
    <w:rsid w:val="005036F8"/>
    <w:rsid w:val="00503756"/>
    <w:rsid w:val="00504E92"/>
    <w:rsid w:val="00505087"/>
    <w:rsid w:val="00505918"/>
    <w:rsid w:val="00505EF6"/>
    <w:rsid w:val="00506ACD"/>
    <w:rsid w:val="00506B4A"/>
    <w:rsid w:val="00506D68"/>
    <w:rsid w:val="0051017E"/>
    <w:rsid w:val="00510E60"/>
    <w:rsid w:val="00510EAA"/>
    <w:rsid w:val="00511E3A"/>
    <w:rsid w:val="00512475"/>
    <w:rsid w:val="00513CE8"/>
    <w:rsid w:val="005151E8"/>
    <w:rsid w:val="0051638A"/>
    <w:rsid w:val="00516C4B"/>
    <w:rsid w:val="00516ED1"/>
    <w:rsid w:val="00517356"/>
    <w:rsid w:val="005201BE"/>
    <w:rsid w:val="00520524"/>
    <w:rsid w:val="00520567"/>
    <w:rsid w:val="00520AE9"/>
    <w:rsid w:val="00521108"/>
    <w:rsid w:val="0052256A"/>
    <w:rsid w:val="00524AF6"/>
    <w:rsid w:val="00526052"/>
    <w:rsid w:val="00526704"/>
    <w:rsid w:val="005272AF"/>
    <w:rsid w:val="0052736F"/>
    <w:rsid w:val="0053015E"/>
    <w:rsid w:val="005319AB"/>
    <w:rsid w:val="005321F2"/>
    <w:rsid w:val="005326E6"/>
    <w:rsid w:val="00532FDC"/>
    <w:rsid w:val="0053411D"/>
    <w:rsid w:val="00534A00"/>
    <w:rsid w:val="0054027C"/>
    <w:rsid w:val="00540C32"/>
    <w:rsid w:val="00541241"/>
    <w:rsid w:val="0054318A"/>
    <w:rsid w:val="00543966"/>
    <w:rsid w:val="00544304"/>
    <w:rsid w:val="00545E0E"/>
    <w:rsid w:val="00545F6C"/>
    <w:rsid w:val="005469C0"/>
    <w:rsid w:val="00547AA9"/>
    <w:rsid w:val="00547AD4"/>
    <w:rsid w:val="005525E0"/>
    <w:rsid w:val="00553055"/>
    <w:rsid w:val="00553A9D"/>
    <w:rsid w:val="0055408C"/>
    <w:rsid w:val="00554B12"/>
    <w:rsid w:val="00555D63"/>
    <w:rsid w:val="00556A01"/>
    <w:rsid w:val="005573D6"/>
    <w:rsid w:val="0055746F"/>
    <w:rsid w:val="00557515"/>
    <w:rsid w:val="00557BF5"/>
    <w:rsid w:val="00557D95"/>
    <w:rsid w:val="00561380"/>
    <w:rsid w:val="0056168A"/>
    <w:rsid w:val="00561A21"/>
    <w:rsid w:val="005621DC"/>
    <w:rsid w:val="00562F1E"/>
    <w:rsid w:val="00563D3C"/>
    <w:rsid w:val="00564A71"/>
    <w:rsid w:val="00565342"/>
    <w:rsid w:val="005666C3"/>
    <w:rsid w:val="00566AA0"/>
    <w:rsid w:val="00567158"/>
    <w:rsid w:val="0056766C"/>
    <w:rsid w:val="00567E7E"/>
    <w:rsid w:val="00570402"/>
    <w:rsid w:val="00571D8B"/>
    <w:rsid w:val="00571DFF"/>
    <w:rsid w:val="00574EDE"/>
    <w:rsid w:val="00574F7F"/>
    <w:rsid w:val="0057556F"/>
    <w:rsid w:val="00575870"/>
    <w:rsid w:val="00576798"/>
    <w:rsid w:val="0057791F"/>
    <w:rsid w:val="005802A2"/>
    <w:rsid w:val="005803D5"/>
    <w:rsid w:val="00580429"/>
    <w:rsid w:val="005807C0"/>
    <w:rsid w:val="00580836"/>
    <w:rsid w:val="00580EB4"/>
    <w:rsid w:val="005814C7"/>
    <w:rsid w:val="00581BF6"/>
    <w:rsid w:val="00582380"/>
    <w:rsid w:val="00582438"/>
    <w:rsid w:val="00582F9C"/>
    <w:rsid w:val="00583444"/>
    <w:rsid w:val="00584D42"/>
    <w:rsid w:val="005850D8"/>
    <w:rsid w:val="00585C83"/>
    <w:rsid w:val="0058623D"/>
    <w:rsid w:val="00586459"/>
    <w:rsid w:val="00586A48"/>
    <w:rsid w:val="00587CF5"/>
    <w:rsid w:val="005910AF"/>
    <w:rsid w:val="005910EA"/>
    <w:rsid w:val="005917F7"/>
    <w:rsid w:val="0059183D"/>
    <w:rsid w:val="0059497C"/>
    <w:rsid w:val="0059518D"/>
    <w:rsid w:val="00595477"/>
    <w:rsid w:val="00596EF7"/>
    <w:rsid w:val="005A0424"/>
    <w:rsid w:val="005A0675"/>
    <w:rsid w:val="005A23F9"/>
    <w:rsid w:val="005A25F1"/>
    <w:rsid w:val="005A2CE4"/>
    <w:rsid w:val="005A2E32"/>
    <w:rsid w:val="005A3177"/>
    <w:rsid w:val="005A3203"/>
    <w:rsid w:val="005A3C1F"/>
    <w:rsid w:val="005A45FD"/>
    <w:rsid w:val="005A5B75"/>
    <w:rsid w:val="005A6015"/>
    <w:rsid w:val="005A635E"/>
    <w:rsid w:val="005A6AE9"/>
    <w:rsid w:val="005A6F3D"/>
    <w:rsid w:val="005A7FE1"/>
    <w:rsid w:val="005B02E7"/>
    <w:rsid w:val="005B1A30"/>
    <w:rsid w:val="005B37C3"/>
    <w:rsid w:val="005B59F4"/>
    <w:rsid w:val="005B6412"/>
    <w:rsid w:val="005B6777"/>
    <w:rsid w:val="005B7FFC"/>
    <w:rsid w:val="005C0704"/>
    <w:rsid w:val="005C0DB6"/>
    <w:rsid w:val="005C10AD"/>
    <w:rsid w:val="005C14A3"/>
    <w:rsid w:val="005C1F97"/>
    <w:rsid w:val="005C3512"/>
    <w:rsid w:val="005C45E0"/>
    <w:rsid w:val="005C4A61"/>
    <w:rsid w:val="005C4B7F"/>
    <w:rsid w:val="005C4DE0"/>
    <w:rsid w:val="005C4DFE"/>
    <w:rsid w:val="005C5912"/>
    <w:rsid w:val="005C5B2E"/>
    <w:rsid w:val="005C6050"/>
    <w:rsid w:val="005C63C1"/>
    <w:rsid w:val="005C6425"/>
    <w:rsid w:val="005C68DC"/>
    <w:rsid w:val="005C6A09"/>
    <w:rsid w:val="005C722B"/>
    <w:rsid w:val="005D017C"/>
    <w:rsid w:val="005D042B"/>
    <w:rsid w:val="005D0624"/>
    <w:rsid w:val="005D1597"/>
    <w:rsid w:val="005D2929"/>
    <w:rsid w:val="005D2EF8"/>
    <w:rsid w:val="005D4659"/>
    <w:rsid w:val="005D6C68"/>
    <w:rsid w:val="005D7419"/>
    <w:rsid w:val="005D74E1"/>
    <w:rsid w:val="005D7D52"/>
    <w:rsid w:val="005D7FD9"/>
    <w:rsid w:val="005E0672"/>
    <w:rsid w:val="005E1F7F"/>
    <w:rsid w:val="005E224E"/>
    <w:rsid w:val="005E2941"/>
    <w:rsid w:val="005E4DF8"/>
    <w:rsid w:val="005E61BE"/>
    <w:rsid w:val="005E6C04"/>
    <w:rsid w:val="005E7306"/>
    <w:rsid w:val="005E78ED"/>
    <w:rsid w:val="005E7AF7"/>
    <w:rsid w:val="005E7B6B"/>
    <w:rsid w:val="005F16BA"/>
    <w:rsid w:val="005F2685"/>
    <w:rsid w:val="005F33C0"/>
    <w:rsid w:val="005F3888"/>
    <w:rsid w:val="005F437D"/>
    <w:rsid w:val="005F4FCF"/>
    <w:rsid w:val="005F5A93"/>
    <w:rsid w:val="005F5B4E"/>
    <w:rsid w:val="005F5CCB"/>
    <w:rsid w:val="005F68CD"/>
    <w:rsid w:val="005F7EF3"/>
    <w:rsid w:val="0060018B"/>
    <w:rsid w:val="0060022B"/>
    <w:rsid w:val="006004E0"/>
    <w:rsid w:val="006010BD"/>
    <w:rsid w:val="00601D35"/>
    <w:rsid w:val="00601D82"/>
    <w:rsid w:val="00602057"/>
    <w:rsid w:val="0060313D"/>
    <w:rsid w:val="00603893"/>
    <w:rsid w:val="00603A38"/>
    <w:rsid w:val="00604847"/>
    <w:rsid w:val="00605EC5"/>
    <w:rsid w:val="00606ABB"/>
    <w:rsid w:val="0061157E"/>
    <w:rsid w:val="00611620"/>
    <w:rsid w:val="006117E6"/>
    <w:rsid w:val="0061226D"/>
    <w:rsid w:val="00613593"/>
    <w:rsid w:val="006136A2"/>
    <w:rsid w:val="006147FF"/>
    <w:rsid w:val="00614F5C"/>
    <w:rsid w:val="00615280"/>
    <w:rsid w:val="00616031"/>
    <w:rsid w:val="006161DE"/>
    <w:rsid w:val="00616A37"/>
    <w:rsid w:val="00616F66"/>
    <w:rsid w:val="00616F76"/>
    <w:rsid w:val="0061754B"/>
    <w:rsid w:val="00617765"/>
    <w:rsid w:val="00620287"/>
    <w:rsid w:val="00620347"/>
    <w:rsid w:val="0062135B"/>
    <w:rsid w:val="006215B9"/>
    <w:rsid w:val="006219A1"/>
    <w:rsid w:val="006224E4"/>
    <w:rsid w:val="00622654"/>
    <w:rsid w:val="00623B92"/>
    <w:rsid w:val="00624AC0"/>
    <w:rsid w:val="00625428"/>
    <w:rsid w:val="006263F0"/>
    <w:rsid w:val="00626B85"/>
    <w:rsid w:val="00626EAD"/>
    <w:rsid w:val="00627300"/>
    <w:rsid w:val="00627960"/>
    <w:rsid w:val="00630176"/>
    <w:rsid w:val="00630ABD"/>
    <w:rsid w:val="00631148"/>
    <w:rsid w:val="006320FD"/>
    <w:rsid w:val="006331B1"/>
    <w:rsid w:val="0063370F"/>
    <w:rsid w:val="0063386B"/>
    <w:rsid w:val="00633E1E"/>
    <w:rsid w:val="00634595"/>
    <w:rsid w:val="00634EA0"/>
    <w:rsid w:val="006357BB"/>
    <w:rsid w:val="00635EC5"/>
    <w:rsid w:val="0063625B"/>
    <w:rsid w:val="00637774"/>
    <w:rsid w:val="00637AD2"/>
    <w:rsid w:val="006400BC"/>
    <w:rsid w:val="00641587"/>
    <w:rsid w:val="006420B9"/>
    <w:rsid w:val="00642981"/>
    <w:rsid w:val="00643160"/>
    <w:rsid w:val="00643E27"/>
    <w:rsid w:val="006449AC"/>
    <w:rsid w:val="0064595D"/>
    <w:rsid w:val="00645C73"/>
    <w:rsid w:val="006462BD"/>
    <w:rsid w:val="00646388"/>
    <w:rsid w:val="00646866"/>
    <w:rsid w:val="00647814"/>
    <w:rsid w:val="00647D57"/>
    <w:rsid w:val="00647E8B"/>
    <w:rsid w:val="00651B42"/>
    <w:rsid w:val="006520E3"/>
    <w:rsid w:val="00652202"/>
    <w:rsid w:val="00653E87"/>
    <w:rsid w:val="00654AC3"/>
    <w:rsid w:val="006559C7"/>
    <w:rsid w:val="0065704F"/>
    <w:rsid w:val="006576A6"/>
    <w:rsid w:val="006616B1"/>
    <w:rsid w:val="006618D2"/>
    <w:rsid w:val="00661D57"/>
    <w:rsid w:val="00661E7A"/>
    <w:rsid w:val="00662161"/>
    <w:rsid w:val="00662210"/>
    <w:rsid w:val="00662279"/>
    <w:rsid w:val="00662647"/>
    <w:rsid w:val="00662778"/>
    <w:rsid w:val="00662980"/>
    <w:rsid w:val="00662FD3"/>
    <w:rsid w:val="00663211"/>
    <w:rsid w:val="0066377F"/>
    <w:rsid w:val="0066465F"/>
    <w:rsid w:val="00664CE2"/>
    <w:rsid w:val="00666DF3"/>
    <w:rsid w:val="006675FE"/>
    <w:rsid w:val="00667F49"/>
    <w:rsid w:val="00670598"/>
    <w:rsid w:val="00670857"/>
    <w:rsid w:val="00670942"/>
    <w:rsid w:val="00670A8B"/>
    <w:rsid w:val="00671404"/>
    <w:rsid w:val="006717EC"/>
    <w:rsid w:val="006719DF"/>
    <w:rsid w:val="00672878"/>
    <w:rsid w:val="0067309C"/>
    <w:rsid w:val="00674315"/>
    <w:rsid w:val="00674397"/>
    <w:rsid w:val="006747A7"/>
    <w:rsid w:val="00674B07"/>
    <w:rsid w:val="0067690A"/>
    <w:rsid w:val="00676C66"/>
    <w:rsid w:val="006805A7"/>
    <w:rsid w:val="00680A44"/>
    <w:rsid w:val="00681535"/>
    <w:rsid w:val="006815D5"/>
    <w:rsid w:val="00681A28"/>
    <w:rsid w:val="00682AEF"/>
    <w:rsid w:val="00682D7A"/>
    <w:rsid w:val="00682E31"/>
    <w:rsid w:val="00683696"/>
    <w:rsid w:val="00683934"/>
    <w:rsid w:val="006840B7"/>
    <w:rsid w:val="006841BE"/>
    <w:rsid w:val="0068434B"/>
    <w:rsid w:val="006845AE"/>
    <w:rsid w:val="006850C2"/>
    <w:rsid w:val="00685B10"/>
    <w:rsid w:val="00686074"/>
    <w:rsid w:val="006875F6"/>
    <w:rsid w:val="00687DB4"/>
    <w:rsid w:val="0069147D"/>
    <w:rsid w:val="006918CD"/>
    <w:rsid w:val="0069190C"/>
    <w:rsid w:val="00691B9A"/>
    <w:rsid w:val="00691ECD"/>
    <w:rsid w:val="00692604"/>
    <w:rsid w:val="00692A00"/>
    <w:rsid w:val="00692A95"/>
    <w:rsid w:val="00692E4E"/>
    <w:rsid w:val="00693469"/>
    <w:rsid w:val="006938E4"/>
    <w:rsid w:val="00694B80"/>
    <w:rsid w:val="00695945"/>
    <w:rsid w:val="00695B79"/>
    <w:rsid w:val="00697EDE"/>
    <w:rsid w:val="006A0707"/>
    <w:rsid w:val="006A0849"/>
    <w:rsid w:val="006A1970"/>
    <w:rsid w:val="006A2736"/>
    <w:rsid w:val="006A2B39"/>
    <w:rsid w:val="006A3246"/>
    <w:rsid w:val="006A4D7E"/>
    <w:rsid w:val="006A59ED"/>
    <w:rsid w:val="006A6A45"/>
    <w:rsid w:val="006A723C"/>
    <w:rsid w:val="006B085B"/>
    <w:rsid w:val="006B1B8F"/>
    <w:rsid w:val="006B1E20"/>
    <w:rsid w:val="006B22A0"/>
    <w:rsid w:val="006B2C1B"/>
    <w:rsid w:val="006B3515"/>
    <w:rsid w:val="006B3694"/>
    <w:rsid w:val="006B3B74"/>
    <w:rsid w:val="006B3CFB"/>
    <w:rsid w:val="006B3FC1"/>
    <w:rsid w:val="006B4071"/>
    <w:rsid w:val="006B485B"/>
    <w:rsid w:val="006B544A"/>
    <w:rsid w:val="006B568D"/>
    <w:rsid w:val="006C1029"/>
    <w:rsid w:val="006C1830"/>
    <w:rsid w:val="006C2515"/>
    <w:rsid w:val="006C3706"/>
    <w:rsid w:val="006C3A10"/>
    <w:rsid w:val="006C3CF0"/>
    <w:rsid w:val="006C4B42"/>
    <w:rsid w:val="006C5317"/>
    <w:rsid w:val="006C75D8"/>
    <w:rsid w:val="006D0207"/>
    <w:rsid w:val="006D023B"/>
    <w:rsid w:val="006D05CE"/>
    <w:rsid w:val="006D09DD"/>
    <w:rsid w:val="006D2F1D"/>
    <w:rsid w:val="006D42C2"/>
    <w:rsid w:val="006D4546"/>
    <w:rsid w:val="006D5673"/>
    <w:rsid w:val="006D57C1"/>
    <w:rsid w:val="006D5C08"/>
    <w:rsid w:val="006D6A98"/>
    <w:rsid w:val="006D6D12"/>
    <w:rsid w:val="006D6E7B"/>
    <w:rsid w:val="006D7B4C"/>
    <w:rsid w:val="006D7E52"/>
    <w:rsid w:val="006E094A"/>
    <w:rsid w:val="006E1B96"/>
    <w:rsid w:val="006E1DBE"/>
    <w:rsid w:val="006E1F62"/>
    <w:rsid w:val="006E2A30"/>
    <w:rsid w:val="006E3C3F"/>
    <w:rsid w:val="006E458E"/>
    <w:rsid w:val="006E4601"/>
    <w:rsid w:val="006E4841"/>
    <w:rsid w:val="006E4EB4"/>
    <w:rsid w:val="006E54B7"/>
    <w:rsid w:val="006E5F64"/>
    <w:rsid w:val="006E614E"/>
    <w:rsid w:val="006E64F2"/>
    <w:rsid w:val="006E7346"/>
    <w:rsid w:val="006E7954"/>
    <w:rsid w:val="006F0536"/>
    <w:rsid w:val="006F1301"/>
    <w:rsid w:val="006F16E9"/>
    <w:rsid w:val="006F1EDA"/>
    <w:rsid w:val="006F1F03"/>
    <w:rsid w:val="006F25C2"/>
    <w:rsid w:val="006F2A00"/>
    <w:rsid w:val="006F33FC"/>
    <w:rsid w:val="006F39A9"/>
    <w:rsid w:val="006F43EF"/>
    <w:rsid w:val="006F48C8"/>
    <w:rsid w:val="006F5791"/>
    <w:rsid w:val="006F6FD6"/>
    <w:rsid w:val="006F7599"/>
    <w:rsid w:val="006F765F"/>
    <w:rsid w:val="00701C3A"/>
    <w:rsid w:val="007050FA"/>
    <w:rsid w:val="00705269"/>
    <w:rsid w:val="00706C00"/>
    <w:rsid w:val="007070D8"/>
    <w:rsid w:val="00707299"/>
    <w:rsid w:val="00707AF8"/>
    <w:rsid w:val="0071195B"/>
    <w:rsid w:val="00711AEA"/>
    <w:rsid w:val="007121B6"/>
    <w:rsid w:val="0071298E"/>
    <w:rsid w:val="00713673"/>
    <w:rsid w:val="007136E4"/>
    <w:rsid w:val="00713A70"/>
    <w:rsid w:val="007154A0"/>
    <w:rsid w:val="007169AB"/>
    <w:rsid w:val="00716B50"/>
    <w:rsid w:val="00717534"/>
    <w:rsid w:val="00720200"/>
    <w:rsid w:val="00720BE0"/>
    <w:rsid w:val="00720DC2"/>
    <w:rsid w:val="0072186D"/>
    <w:rsid w:val="0072186E"/>
    <w:rsid w:val="00722B12"/>
    <w:rsid w:val="00722EDB"/>
    <w:rsid w:val="0072395C"/>
    <w:rsid w:val="00723AF1"/>
    <w:rsid w:val="00723F34"/>
    <w:rsid w:val="00724148"/>
    <w:rsid w:val="007241AA"/>
    <w:rsid w:val="007241D3"/>
    <w:rsid w:val="007252F2"/>
    <w:rsid w:val="00726EEA"/>
    <w:rsid w:val="007270CF"/>
    <w:rsid w:val="00727D93"/>
    <w:rsid w:val="007307EA"/>
    <w:rsid w:val="007308D8"/>
    <w:rsid w:val="00731DC4"/>
    <w:rsid w:val="00732B2B"/>
    <w:rsid w:val="00732D6E"/>
    <w:rsid w:val="0073368B"/>
    <w:rsid w:val="00734BBC"/>
    <w:rsid w:val="00734C2F"/>
    <w:rsid w:val="0073508C"/>
    <w:rsid w:val="00735357"/>
    <w:rsid w:val="00735870"/>
    <w:rsid w:val="00735B8E"/>
    <w:rsid w:val="00735C0C"/>
    <w:rsid w:val="00736758"/>
    <w:rsid w:val="00736D64"/>
    <w:rsid w:val="00737ABB"/>
    <w:rsid w:val="00737CE9"/>
    <w:rsid w:val="0074006A"/>
    <w:rsid w:val="00740DB1"/>
    <w:rsid w:val="00740F35"/>
    <w:rsid w:val="00742D03"/>
    <w:rsid w:val="0074347A"/>
    <w:rsid w:val="00743D14"/>
    <w:rsid w:val="007449CD"/>
    <w:rsid w:val="00744E5C"/>
    <w:rsid w:val="00744F56"/>
    <w:rsid w:val="0074507D"/>
    <w:rsid w:val="007451CD"/>
    <w:rsid w:val="007459B1"/>
    <w:rsid w:val="00745AC6"/>
    <w:rsid w:val="00745BDA"/>
    <w:rsid w:val="00747022"/>
    <w:rsid w:val="00747AD8"/>
    <w:rsid w:val="00750C2C"/>
    <w:rsid w:val="00752982"/>
    <w:rsid w:val="00754ED4"/>
    <w:rsid w:val="007553D7"/>
    <w:rsid w:val="007556BF"/>
    <w:rsid w:val="00755B91"/>
    <w:rsid w:val="00755FAE"/>
    <w:rsid w:val="00756D72"/>
    <w:rsid w:val="00757872"/>
    <w:rsid w:val="00757AEE"/>
    <w:rsid w:val="0076026A"/>
    <w:rsid w:val="007607FD"/>
    <w:rsid w:val="007616EC"/>
    <w:rsid w:val="00762096"/>
    <w:rsid w:val="0076270A"/>
    <w:rsid w:val="00762FB2"/>
    <w:rsid w:val="00763609"/>
    <w:rsid w:val="00763FF0"/>
    <w:rsid w:val="007648BD"/>
    <w:rsid w:val="00764AA4"/>
    <w:rsid w:val="00764D29"/>
    <w:rsid w:val="00765E74"/>
    <w:rsid w:val="007673D9"/>
    <w:rsid w:val="00770B65"/>
    <w:rsid w:val="0077199B"/>
    <w:rsid w:val="00772CA2"/>
    <w:rsid w:val="00773942"/>
    <w:rsid w:val="00774B7A"/>
    <w:rsid w:val="00774E3A"/>
    <w:rsid w:val="00775A9B"/>
    <w:rsid w:val="007761B5"/>
    <w:rsid w:val="00776CED"/>
    <w:rsid w:val="0078019C"/>
    <w:rsid w:val="007808E9"/>
    <w:rsid w:val="007824C6"/>
    <w:rsid w:val="007831C5"/>
    <w:rsid w:val="0078432A"/>
    <w:rsid w:val="007852B1"/>
    <w:rsid w:val="00785863"/>
    <w:rsid w:val="007861AA"/>
    <w:rsid w:val="007862E2"/>
    <w:rsid w:val="00787105"/>
    <w:rsid w:val="00787178"/>
    <w:rsid w:val="007874D0"/>
    <w:rsid w:val="0079028A"/>
    <w:rsid w:val="007904AA"/>
    <w:rsid w:val="00790E6D"/>
    <w:rsid w:val="0079122E"/>
    <w:rsid w:val="00791671"/>
    <w:rsid w:val="0079187C"/>
    <w:rsid w:val="0079285C"/>
    <w:rsid w:val="00792D91"/>
    <w:rsid w:val="00794E91"/>
    <w:rsid w:val="00795863"/>
    <w:rsid w:val="00796AEC"/>
    <w:rsid w:val="00796DB4"/>
    <w:rsid w:val="00796E4B"/>
    <w:rsid w:val="00797635"/>
    <w:rsid w:val="00797A86"/>
    <w:rsid w:val="007A07D1"/>
    <w:rsid w:val="007A1057"/>
    <w:rsid w:val="007A3E35"/>
    <w:rsid w:val="007A4F5D"/>
    <w:rsid w:val="007A540C"/>
    <w:rsid w:val="007A5D0E"/>
    <w:rsid w:val="007A71BF"/>
    <w:rsid w:val="007A7964"/>
    <w:rsid w:val="007A7DAC"/>
    <w:rsid w:val="007A7E5D"/>
    <w:rsid w:val="007B2561"/>
    <w:rsid w:val="007B3061"/>
    <w:rsid w:val="007B319B"/>
    <w:rsid w:val="007B32B9"/>
    <w:rsid w:val="007B47F7"/>
    <w:rsid w:val="007B4BF4"/>
    <w:rsid w:val="007B4C22"/>
    <w:rsid w:val="007B554B"/>
    <w:rsid w:val="007B5A93"/>
    <w:rsid w:val="007B6194"/>
    <w:rsid w:val="007B63C1"/>
    <w:rsid w:val="007B71E8"/>
    <w:rsid w:val="007B742D"/>
    <w:rsid w:val="007C0006"/>
    <w:rsid w:val="007C019C"/>
    <w:rsid w:val="007C0393"/>
    <w:rsid w:val="007C12B2"/>
    <w:rsid w:val="007C16A0"/>
    <w:rsid w:val="007C1F5B"/>
    <w:rsid w:val="007C29F0"/>
    <w:rsid w:val="007C4673"/>
    <w:rsid w:val="007C4A37"/>
    <w:rsid w:val="007C4FC2"/>
    <w:rsid w:val="007C51E9"/>
    <w:rsid w:val="007C527A"/>
    <w:rsid w:val="007C5E6A"/>
    <w:rsid w:val="007C6ED0"/>
    <w:rsid w:val="007C7318"/>
    <w:rsid w:val="007C75B9"/>
    <w:rsid w:val="007C75CC"/>
    <w:rsid w:val="007C7FA7"/>
    <w:rsid w:val="007D0291"/>
    <w:rsid w:val="007D11B4"/>
    <w:rsid w:val="007D1711"/>
    <w:rsid w:val="007D214F"/>
    <w:rsid w:val="007D255B"/>
    <w:rsid w:val="007D2834"/>
    <w:rsid w:val="007D3260"/>
    <w:rsid w:val="007D5729"/>
    <w:rsid w:val="007D5EB2"/>
    <w:rsid w:val="007D6393"/>
    <w:rsid w:val="007D6E65"/>
    <w:rsid w:val="007D75A3"/>
    <w:rsid w:val="007E0564"/>
    <w:rsid w:val="007E0BEB"/>
    <w:rsid w:val="007E0D8E"/>
    <w:rsid w:val="007E184D"/>
    <w:rsid w:val="007E1A6B"/>
    <w:rsid w:val="007E262B"/>
    <w:rsid w:val="007E2D0B"/>
    <w:rsid w:val="007E35DF"/>
    <w:rsid w:val="007E3637"/>
    <w:rsid w:val="007E41ED"/>
    <w:rsid w:val="007E4C9D"/>
    <w:rsid w:val="007E4EFC"/>
    <w:rsid w:val="007E5CDE"/>
    <w:rsid w:val="007E5F17"/>
    <w:rsid w:val="007E60C0"/>
    <w:rsid w:val="007E6F0D"/>
    <w:rsid w:val="007E7AAD"/>
    <w:rsid w:val="007F1BA1"/>
    <w:rsid w:val="007F439C"/>
    <w:rsid w:val="007F4E69"/>
    <w:rsid w:val="007F52B4"/>
    <w:rsid w:val="007F5564"/>
    <w:rsid w:val="007F70F5"/>
    <w:rsid w:val="007F711B"/>
    <w:rsid w:val="007F7545"/>
    <w:rsid w:val="007F7986"/>
    <w:rsid w:val="007F7BFE"/>
    <w:rsid w:val="008010B3"/>
    <w:rsid w:val="008014C9"/>
    <w:rsid w:val="00801640"/>
    <w:rsid w:val="00801D89"/>
    <w:rsid w:val="00802BF5"/>
    <w:rsid w:val="0080358B"/>
    <w:rsid w:val="008035F2"/>
    <w:rsid w:val="008037E2"/>
    <w:rsid w:val="00804B63"/>
    <w:rsid w:val="00804F42"/>
    <w:rsid w:val="00805C04"/>
    <w:rsid w:val="00805EC9"/>
    <w:rsid w:val="0080658A"/>
    <w:rsid w:val="00807191"/>
    <w:rsid w:val="00807F62"/>
    <w:rsid w:val="008111B3"/>
    <w:rsid w:val="00812949"/>
    <w:rsid w:val="0081330B"/>
    <w:rsid w:val="00813DA6"/>
    <w:rsid w:val="00813F18"/>
    <w:rsid w:val="00814157"/>
    <w:rsid w:val="00814227"/>
    <w:rsid w:val="00814BF6"/>
    <w:rsid w:val="00814DAA"/>
    <w:rsid w:val="00815441"/>
    <w:rsid w:val="00815627"/>
    <w:rsid w:val="008163E5"/>
    <w:rsid w:val="00816EFE"/>
    <w:rsid w:val="00821E01"/>
    <w:rsid w:val="00822AEA"/>
    <w:rsid w:val="00822BC9"/>
    <w:rsid w:val="008242BE"/>
    <w:rsid w:val="008249BF"/>
    <w:rsid w:val="008249CA"/>
    <w:rsid w:val="008249E6"/>
    <w:rsid w:val="00824B9A"/>
    <w:rsid w:val="00824F75"/>
    <w:rsid w:val="0082628D"/>
    <w:rsid w:val="008272EF"/>
    <w:rsid w:val="00827462"/>
    <w:rsid w:val="0082776C"/>
    <w:rsid w:val="00827D76"/>
    <w:rsid w:val="008317B9"/>
    <w:rsid w:val="008321EF"/>
    <w:rsid w:val="00834C2B"/>
    <w:rsid w:val="00835415"/>
    <w:rsid w:val="0083577B"/>
    <w:rsid w:val="008360BE"/>
    <w:rsid w:val="008364DA"/>
    <w:rsid w:val="00836561"/>
    <w:rsid w:val="00836811"/>
    <w:rsid w:val="008370CF"/>
    <w:rsid w:val="00837E28"/>
    <w:rsid w:val="00840C54"/>
    <w:rsid w:val="008425AC"/>
    <w:rsid w:val="00843400"/>
    <w:rsid w:val="00843817"/>
    <w:rsid w:val="008442D8"/>
    <w:rsid w:val="00845D6F"/>
    <w:rsid w:val="00846162"/>
    <w:rsid w:val="008467AB"/>
    <w:rsid w:val="00847D62"/>
    <w:rsid w:val="00847DFA"/>
    <w:rsid w:val="00850039"/>
    <w:rsid w:val="00850D4F"/>
    <w:rsid w:val="008514B2"/>
    <w:rsid w:val="00852642"/>
    <w:rsid w:val="00852B30"/>
    <w:rsid w:val="0085339D"/>
    <w:rsid w:val="00853B3C"/>
    <w:rsid w:val="0085618F"/>
    <w:rsid w:val="0085751B"/>
    <w:rsid w:val="00857E5A"/>
    <w:rsid w:val="00860DF1"/>
    <w:rsid w:val="0086252B"/>
    <w:rsid w:val="008625C6"/>
    <w:rsid w:val="00864499"/>
    <w:rsid w:val="00864896"/>
    <w:rsid w:val="008655A1"/>
    <w:rsid w:val="00865D2F"/>
    <w:rsid w:val="00866F80"/>
    <w:rsid w:val="0086736C"/>
    <w:rsid w:val="00867955"/>
    <w:rsid w:val="00867A8E"/>
    <w:rsid w:val="00867BCF"/>
    <w:rsid w:val="00867D68"/>
    <w:rsid w:val="00870252"/>
    <w:rsid w:val="00870C1D"/>
    <w:rsid w:val="008718E1"/>
    <w:rsid w:val="00871E31"/>
    <w:rsid w:val="00871EB8"/>
    <w:rsid w:val="00871F3E"/>
    <w:rsid w:val="008725B4"/>
    <w:rsid w:val="0087267C"/>
    <w:rsid w:val="00873CA3"/>
    <w:rsid w:val="008743A1"/>
    <w:rsid w:val="00874964"/>
    <w:rsid w:val="00874E00"/>
    <w:rsid w:val="00874F9E"/>
    <w:rsid w:val="00875667"/>
    <w:rsid w:val="0087682F"/>
    <w:rsid w:val="00877F2C"/>
    <w:rsid w:val="00881FB3"/>
    <w:rsid w:val="0088256E"/>
    <w:rsid w:val="0088293D"/>
    <w:rsid w:val="0088321C"/>
    <w:rsid w:val="00883B6E"/>
    <w:rsid w:val="008840CB"/>
    <w:rsid w:val="0088677E"/>
    <w:rsid w:val="00890133"/>
    <w:rsid w:val="00890AC6"/>
    <w:rsid w:val="00891330"/>
    <w:rsid w:val="00891470"/>
    <w:rsid w:val="008920C3"/>
    <w:rsid w:val="00892B27"/>
    <w:rsid w:val="00893A0D"/>
    <w:rsid w:val="00893C3B"/>
    <w:rsid w:val="00894140"/>
    <w:rsid w:val="00894427"/>
    <w:rsid w:val="00894AD4"/>
    <w:rsid w:val="0089508C"/>
    <w:rsid w:val="0089510F"/>
    <w:rsid w:val="00895116"/>
    <w:rsid w:val="00897937"/>
    <w:rsid w:val="008A06ED"/>
    <w:rsid w:val="008A0C9A"/>
    <w:rsid w:val="008A1808"/>
    <w:rsid w:val="008A1D78"/>
    <w:rsid w:val="008A22F7"/>
    <w:rsid w:val="008A29FE"/>
    <w:rsid w:val="008A2C59"/>
    <w:rsid w:val="008A43CF"/>
    <w:rsid w:val="008A44CD"/>
    <w:rsid w:val="008A4D8A"/>
    <w:rsid w:val="008A518A"/>
    <w:rsid w:val="008A5C59"/>
    <w:rsid w:val="008B0D5B"/>
    <w:rsid w:val="008B13A2"/>
    <w:rsid w:val="008B141A"/>
    <w:rsid w:val="008B1988"/>
    <w:rsid w:val="008B1C02"/>
    <w:rsid w:val="008B1D73"/>
    <w:rsid w:val="008B3743"/>
    <w:rsid w:val="008B3ADD"/>
    <w:rsid w:val="008B4EAD"/>
    <w:rsid w:val="008B5981"/>
    <w:rsid w:val="008B6C7A"/>
    <w:rsid w:val="008B7143"/>
    <w:rsid w:val="008B7414"/>
    <w:rsid w:val="008B7F77"/>
    <w:rsid w:val="008C2E59"/>
    <w:rsid w:val="008C32A3"/>
    <w:rsid w:val="008C3640"/>
    <w:rsid w:val="008C3757"/>
    <w:rsid w:val="008C3813"/>
    <w:rsid w:val="008C4DED"/>
    <w:rsid w:val="008C5494"/>
    <w:rsid w:val="008C5C32"/>
    <w:rsid w:val="008C5E03"/>
    <w:rsid w:val="008C6A68"/>
    <w:rsid w:val="008C73FE"/>
    <w:rsid w:val="008C750D"/>
    <w:rsid w:val="008C7CA1"/>
    <w:rsid w:val="008D05B7"/>
    <w:rsid w:val="008D07AB"/>
    <w:rsid w:val="008D14EF"/>
    <w:rsid w:val="008D17B8"/>
    <w:rsid w:val="008D28D1"/>
    <w:rsid w:val="008D29F6"/>
    <w:rsid w:val="008D3FD7"/>
    <w:rsid w:val="008D4C14"/>
    <w:rsid w:val="008D5149"/>
    <w:rsid w:val="008D51F9"/>
    <w:rsid w:val="008D5BA9"/>
    <w:rsid w:val="008D6466"/>
    <w:rsid w:val="008D67CD"/>
    <w:rsid w:val="008D759E"/>
    <w:rsid w:val="008D7EF3"/>
    <w:rsid w:val="008E055C"/>
    <w:rsid w:val="008E1A82"/>
    <w:rsid w:val="008E1C70"/>
    <w:rsid w:val="008E1C83"/>
    <w:rsid w:val="008E1E23"/>
    <w:rsid w:val="008E35E1"/>
    <w:rsid w:val="008E3639"/>
    <w:rsid w:val="008E3C7C"/>
    <w:rsid w:val="008E3E16"/>
    <w:rsid w:val="008E47F8"/>
    <w:rsid w:val="008E48DE"/>
    <w:rsid w:val="008E5148"/>
    <w:rsid w:val="008E58AF"/>
    <w:rsid w:val="008E7436"/>
    <w:rsid w:val="008E78F2"/>
    <w:rsid w:val="008E7ABF"/>
    <w:rsid w:val="008F0058"/>
    <w:rsid w:val="008F1B88"/>
    <w:rsid w:val="008F1FE5"/>
    <w:rsid w:val="008F23BD"/>
    <w:rsid w:val="008F250F"/>
    <w:rsid w:val="008F2616"/>
    <w:rsid w:val="008F30B4"/>
    <w:rsid w:val="008F44E9"/>
    <w:rsid w:val="008F4C1B"/>
    <w:rsid w:val="008F5641"/>
    <w:rsid w:val="008F6503"/>
    <w:rsid w:val="008F6EED"/>
    <w:rsid w:val="008F7B90"/>
    <w:rsid w:val="009009D4"/>
    <w:rsid w:val="0090138D"/>
    <w:rsid w:val="00901731"/>
    <w:rsid w:val="00904322"/>
    <w:rsid w:val="00906A20"/>
    <w:rsid w:val="00907E37"/>
    <w:rsid w:val="009100E4"/>
    <w:rsid w:val="00910576"/>
    <w:rsid w:val="00910B6C"/>
    <w:rsid w:val="00911215"/>
    <w:rsid w:val="00912131"/>
    <w:rsid w:val="00912606"/>
    <w:rsid w:val="0091377A"/>
    <w:rsid w:val="009147B6"/>
    <w:rsid w:val="00914ECD"/>
    <w:rsid w:val="0091577E"/>
    <w:rsid w:val="0091643A"/>
    <w:rsid w:val="00917760"/>
    <w:rsid w:val="00917FE4"/>
    <w:rsid w:val="00920A01"/>
    <w:rsid w:val="00920AC4"/>
    <w:rsid w:val="00920DEA"/>
    <w:rsid w:val="00921DFE"/>
    <w:rsid w:val="009220D1"/>
    <w:rsid w:val="00922182"/>
    <w:rsid w:val="00922AD2"/>
    <w:rsid w:val="00922BCB"/>
    <w:rsid w:val="00922D97"/>
    <w:rsid w:val="00922F2B"/>
    <w:rsid w:val="00923839"/>
    <w:rsid w:val="00923B25"/>
    <w:rsid w:val="009241FF"/>
    <w:rsid w:val="009252D2"/>
    <w:rsid w:val="009259E1"/>
    <w:rsid w:val="00925C1B"/>
    <w:rsid w:val="00926EB2"/>
    <w:rsid w:val="00927148"/>
    <w:rsid w:val="00927517"/>
    <w:rsid w:val="00927AA4"/>
    <w:rsid w:val="00927B9D"/>
    <w:rsid w:val="00927EAA"/>
    <w:rsid w:val="00927FDF"/>
    <w:rsid w:val="009318C3"/>
    <w:rsid w:val="00931906"/>
    <w:rsid w:val="0093240F"/>
    <w:rsid w:val="00932D51"/>
    <w:rsid w:val="00933B00"/>
    <w:rsid w:val="009342CB"/>
    <w:rsid w:val="00934A45"/>
    <w:rsid w:val="0093706E"/>
    <w:rsid w:val="0094025B"/>
    <w:rsid w:val="009403FE"/>
    <w:rsid w:val="00940BBB"/>
    <w:rsid w:val="00940D27"/>
    <w:rsid w:val="0094202E"/>
    <w:rsid w:val="00942401"/>
    <w:rsid w:val="00942CA4"/>
    <w:rsid w:val="0094366C"/>
    <w:rsid w:val="009436F8"/>
    <w:rsid w:val="00944A8E"/>
    <w:rsid w:val="0094585E"/>
    <w:rsid w:val="00947123"/>
    <w:rsid w:val="00950957"/>
    <w:rsid w:val="00951256"/>
    <w:rsid w:val="009522DA"/>
    <w:rsid w:val="00952386"/>
    <w:rsid w:val="009526B1"/>
    <w:rsid w:val="00953CD2"/>
    <w:rsid w:val="0095434F"/>
    <w:rsid w:val="00954DDF"/>
    <w:rsid w:val="00955820"/>
    <w:rsid w:val="00956699"/>
    <w:rsid w:val="0095676E"/>
    <w:rsid w:val="00957217"/>
    <w:rsid w:val="009573B4"/>
    <w:rsid w:val="00957C60"/>
    <w:rsid w:val="009606D0"/>
    <w:rsid w:val="00961E93"/>
    <w:rsid w:val="00962A20"/>
    <w:rsid w:val="00962E37"/>
    <w:rsid w:val="009630CF"/>
    <w:rsid w:val="00963295"/>
    <w:rsid w:val="009639D7"/>
    <w:rsid w:val="0096468B"/>
    <w:rsid w:val="00964838"/>
    <w:rsid w:val="009668C8"/>
    <w:rsid w:val="0096701A"/>
    <w:rsid w:val="00967899"/>
    <w:rsid w:val="00967AFE"/>
    <w:rsid w:val="009705F2"/>
    <w:rsid w:val="0097066E"/>
    <w:rsid w:val="0097086A"/>
    <w:rsid w:val="00970C59"/>
    <w:rsid w:val="0097236F"/>
    <w:rsid w:val="00972462"/>
    <w:rsid w:val="00973099"/>
    <w:rsid w:val="00973C25"/>
    <w:rsid w:val="00974C28"/>
    <w:rsid w:val="00974ED5"/>
    <w:rsid w:val="00975494"/>
    <w:rsid w:val="009754DA"/>
    <w:rsid w:val="00976CA6"/>
    <w:rsid w:val="009772EF"/>
    <w:rsid w:val="0098032E"/>
    <w:rsid w:val="0098041F"/>
    <w:rsid w:val="00980A36"/>
    <w:rsid w:val="009812E6"/>
    <w:rsid w:val="009814FE"/>
    <w:rsid w:val="00982EF9"/>
    <w:rsid w:val="009839B6"/>
    <w:rsid w:val="00983AE2"/>
    <w:rsid w:val="00983FE8"/>
    <w:rsid w:val="00984A01"/>
    <w:rsid w:val="00984D15"/>
    <w:rsid w:val="0098555B"/>
    <w:rsid w:val="00985A10"/>
    <w:rsid w:val="00986A9B"/>
    <w:rsid w:val="009870FE"/>
    <w:rsid w:val="009877E0"/>
    <w:rsid w:val="00990E01"/>
    <w:rsid w:val="00991D9B"/>
    <w:rsid w:val="009924C9"/>
    <w:rsid w:val="00992515"/>
    <w:rsid w:val="009942BD"/>
    <w:rsid w:val="00994697"/>
    <w:rsid w:val="00994ECF"/>
    <w:rsid w:val="00995C52"/>
    <w:rsid w:val="00995EBC"/>
    <w:rsid w:val="009962DF"/>
    <w:rsid w:val="00996BCA"/>
    <w:rsid w:val="00996D83"/>
    <w:rsid w:val="0099728D"/>
    <w:rsid w:val="00997415"/>
    <w:rsid w:val="00997555"/>
    <w:rsid w:val="00997E68"/>
    <w:rsid w:val="009A05A2"/>
    <w:rsid w:val="009A063B"/>
    <w:rsid w:val="009A1162"/>
    <w:rsid w:val="009A148A"/>
    <w:rsid w:val="009A1A2D"/>
    <w:rsid w:val="009A245E"/>
    <w:rsid w:val="009A2886"/>
    <w:rsid w:val="009A2B91"/>
    <w:rsid w:val="009A319B"/>
    <w:rsid w:val="009A32A0"/>
    <w:rsid w:val="009A356E"/>
    <w:rsid w:val="009A37F9"/>
    <w:rsid w:val="009A3FFA"/>
    <w:rsid w:val="009A54C7"/>
    <w:rsid w:val="009A5E7D"/>
    <w:rsid w:val="009A7C78"/>
    <w:rsid w:val="009A7DF6"/>
    <w:rsid w:val="009B0326"/>
    <w:rsid w:val="009B0A76"/>
    <w:rsid w:val="009B1D4F"/>
    <w:rsid w:val="009B3C6A"/>
    <w:rsid w:val="009B41A7"/>
    <w:rsid w:val="009B556E"/>
    <w:rsid w:val="009B593E"/>
    <w:rsid w:val="009B6271"/>
    <w:rsid w:val="009B6603"/>
    <w:rsid w:val="009B7491"/>
    <w:rsid w:val="009B7BBD"/>
    <w:rsid w:val="009B7F62"/>
    <w:rsid w:val="009C07D6"/>
    <w:rsid w:val="009C0E55"/>
    <w:rsid w:val="009C20EA"/>
    <w:rsid w:val="009C20ED"/>
    <w:rsid w:val="009C3933"/>
    <w:rsid w:val="009C426B"/>
    <w:rsid w:val="009C52D7"/>
    <w:rsid w:val="009C6264"/>
    <w:rsid w:val="009C665C"/>
    <w:rsid w:val="009C7462"/>
    <w:rsid w:val="009C7AFF"/>
    <w:rsid w:val="009D07AB"/>
    <w:rsid w:val="009D1FBC"/>
    <w:rsid w:val="009D2130"/>
    <w:rsid w:val="009D24E6"/>
    <w:rsid w:val="009D2A03"/>
    <w:rsid w:val="009D2FB2"/>
    <w:rsid w:val="009D3FB7"/>
    <w:rsid w:val="009D40E2"/>
    <w:rsid w:val="009D4318"/>
    <w:rsid w:val="009D45A6"/>
    <w:rsid w:val="009D4F3E"/>
    <w:rsid w:val="009D65B2"/>
    <w:rsid w:val="009D6699"/>
    <w:rsid w:val="009D6A5A"/>
    <w:rsid w:val="009D7784"/>
    <w:rsid w:val="009D7C46"/>
    <w:rsid w:val="009D7DF2"/>
    <w:rsid w:val="009D7F81"/>
    <w:rsid w:val="009E078D"/>
    <w:rsid w:val="009E0C03"/>
    <w:rsid w:val="009E2306"/>
    <w:rsid w:val="009E2FC2"/>
    <w:rsid w:val="009E5805"/>
    <w:rsid w:val="009E76D5"/>
    <w:rsid w:val="009E7C10"/>
    <w:rsid w:val="009F0307"/>
    <w:rsid w:val="009F05DD"/>
    <w:rsid w:val="009F0AE7"/>
    <w:rsid w:val="009F0B53"/>
    <w:rsid w:val="009F0F09"/>
    <w:rsid w:val="009F109F"/>
    <w:rsid w:val="009F194E"/>
    <w:rsid w:val="009F1C38"/>
    <w:rsid w:val="009F384E"/>
    <w:rsid w:val="009F40C1"/>
    <w:rsid w:val="009F41F1"/>
    <w:rsid w:val="009F45C0"/>
    <w:rsid w:val="009F4AD8"/>
    <w:rsid w:val="009F4E43"/>
    <w:rsid w:val="009F4E60"/>
    <w:rsid w:val="009F653A"/>
    <w:rsid w:val="009F6631"/>
    <w:rsid w:val="009F6BEC"/>
    <w:rsid w:val="009F72D8"/>
    <w:rsid w:val="00A00AE2"/>
    <w:rsid w:val="00A00C71"/>
    <w:rsid w:val="00A010F6"/>
    <w:rsid w:val="00A01872"/>
    <w:rsid w:val="00A01BD0"/>
    <w:rsid w:val="00A01D9D"/>
    <w:rsid w:val="00A0213A"/>
    <w:rsid w:val="00A02C89"/>
    <w:rsid w:val="00A034A7"/>
    <w:rsid w:val="00A057F9"/>
    <w:rsid w:val="00A05E5A"/>
    <w:rsid w:val="00A0659D"/>
    <w:rsid w:val="00A06911"/>
    <w:rsid w:val="00A06B5B"/>
    <w:rsid w:val="00A10CE7"/>
    <w:rsid w:val="00A10DFC"/>
    <w:rsid w:val="00A11457"/>
    <w:rsid w:val="00A12421"/>
    <w:rsid w:val="00A1351A"/>
    <w:rsid w:val="00A14154"/>
    <w:rsid w:val="00A142F6"/>
    <w:rsid w:val="00A148C6"/>
    <w:rsid w:val="00A152C4"/>
    <w:rsid w:val="00A15B1C"/>
    <w:rsid w:val="00A16C53"/>
    <w:rsid w:val="00A16EEA"/>
    <w:rsid w:val="00A172C7"/>
    <w:rsid w:val="00A17A7B"/>
    <w:rsid w:val="00A20A76"/>
    <w:rsid w:val="00A20C1B"/>
    <w:rsid w:val="00A21731"/>
    <w:rsid w:val="00A218A6"/>
    <w:rsid w:val="00A23028"/>
    <w:rsid w:val="00A23039"/>
    <w:rsid w:val="00A23406"/>
    <w:rsid w:val="00A24DA2"/>
    <w:rsid w:val="00A24E73"/>
    <w:rsid w:val="00A24F08"/>
    <w:rsid w:val="00A250BC"/>
    <w:rsid w:val="00A255CE"/>
    <w:rsid w:val="00A25635"/>
    <w:rsid w:val="00A263F3"/>
    <w:rsid w:val="00A27B10"/>
    <w:rsid w:val="00A27B46"/>
    <w:rsid w:val="00A30164"/>
    <w:rsid w:val="00A318B1"/>
    <w:rsid w:val="00A32C80"/>
    <w:rsid w:val="00A32F47"/>
    <w:rsid w:val="00A33006"/>
    <w:rsid w:val="00A337FB"/>
    <w:rsid w:val="00A364CB"/>
    <w:rsid w:val="00A37BA4"/>
    <w:rsid w:val="00A40CC1"/>
    <w:rsid w:val="00A43209"/>
    <w:rsid w:val="00A43AE6"/>
    <w:rsid w:val="00A448D2"/>
    <w:rsid w:val="00A4492A"/>
    <w:rsid w:val="00A45E5B"/>
    <w:rsid w:val="00A4662C"/>
    <w:rsid w:val="00A475C2"/>
    <w:rsid w:val="00A50D12"/>
    <w:rsid w:val="00A515BC"/>
    <w:rsid w:val="00A51B8E"/>
    <w:rsid w:val="00A52515"/>
    <w:rsid w:val="00A53270"/>
    <w:rsid w:val="00A53DF3"/>
    <w:rsid w:val="00A54FE7"/>
    <w:rsid w:val="00A5573E"/>
    <w:rsid w:val="00A55C54"/>
    <w:rsid w:val="00A57652"/>
    <w:rsid w:val="00A57A35"/>
    <w:rsid w:val="00A6055B"/>
    <w:rsid w:val="00A622FE"/>
    <w:rsid w:val="00A623DF"/>
    <w:rsid w:val="00A63D13"/>
    <w:rsid w:val="00A66310"/>
    <w:rsid w:val="00A66AF7"/>
    <w:rsid w:val="00A675FA"/>
    <w:rsid w:val="00A67A91"/>
    <w:rsid w:val="00A70012"/>
    <w:rsid w:val="00A71261"/>
    <w:rsid w:val="00A714F9"/>
    <w:rsid w:val="00A71AB3"/>
    <w:rsid w:val="00A71E32"/>
    <w:rsid w:val="00A7318F"/>
    <w:rsid w:val="00A7481B"/>
    <w:rsid w:val="00A753EB"/>
    <w:rsid w:val="00A758C5"/>
    <w:rsid w:val="00A75D6C"/>
    <w:rsid w:val="00A80EC0"/>
    <w:rsid w:val="00A81A73"/>
    <w:rsid w:val="00A8239F"/>
    <w:rsid w:val="00A82CC6"/>
    <w:rsid w:val="00A82F9D"/>
    <w:rsid w:val="00A835F9"/>
    <w:rsid w:val="00A84514"/>
    <w:rsid w:val="00A847EE"/>
    <w:rsid w:val="00A84D0C"/>
    <w:rsid w:val="00A851E2"/>
    <w:rsid w:val="00A85D02"/>
    <w:rsid w:val="00A86B2A"/>
    <w:rsid w:val="00A86F5B"/>
    <w:rsid w:val="00A872B6"/>
    <w:rsid w:val="00A87FC2"/>
    <w:rsid w:val="00A90E33"/>
    <w:rsid w:val="00A912C4"/>
    <w:rsid w:val="00A9174B"/>
    <w:rsid w:val="00A91D5D"/>
    <w:rsid w:val="00A925E4"/>
    <w:rsid w:val="00A93115"/>
    <w:rsid w:val="00A938B3"/>
    <w:rsid w:val="00A939BA"/>
    <w:rsid w:val="00A94025"/>
    <w:rsid w:val="00A96144"/>
    <w:rsid w:val="00A96E8B"/>
    <w:rsid w:val="00AA0D46"/>
    <w:rsid w:val="00AA1EAB"/>
    <w:rsid w:val="00AA2087"/>
    <w:rsid w:val="00AA21B4"/>
    <w:rsid w:val="00AA33AE"/>
    <w:rsid w:val="00AA4995"/>
    <w:rsid w:val="00AA55F5"/>
    <w:rsid w:val="00AA575B"/>
    <w:rsid w:val="00AA5D21"/>
    <w:rsid w:val="00AA67FD"/>
    <w:rsid w:val="00AA69B3"/>
    <w:rsid w:val="00AB093B"/>
    <w:rsid w:val="00AB0E7D"/>
    <w:rsid w:val="00AB17F6"/>
    <w:rsid w:val="00AB1829"/>
    <w:rsid w:val="00AB1CCD"/>
    <w:rsid w:val="00AB2414"/>
    <w:rsid w:val="00AB3035"/>
    <w:rsid w:val="00AB3A50"/>
    <w:rsid w:val="00AB41C4"/>
    <w:rsid w:val="00AB46EE"/>
    <w:rsid w:val="00AB4FD9"/>
    <w:rsid w:val="00AB5FA6"/>
    <w:rsid w:val="00AC05CC"/>
    <w:rsid w:val="00AC073C"/>
    <w:rsid w:val="00AC0C0C"/>
    <w:rsid w:val="00AC1828"/>
    <w:rsid w:val="00AC1AD5"/>
    <w:rsid w:val="00AC31C9"/>
    <w:rsid w:val="00AC391C"/>
    <w:rsid w:val="00AC4654"/>
    <w:rsid w:val="00AC61FC"/>
    <w:rsid w:val="00AC6524"/>
    <w:rsid w:val="00AC748C"/>
    <w:rsid w:val="00AC7E73"/>
    <w:rsid w:val="00AD047D"/>
    <w:rsid w:val="00AD0861"/>
    <w:rsid w:val="00AD12B5"/>
    <w:rsid w:val="00AD1B70"/>
    <w:rsid w:val="00AD1E90"/>
    <w:rsid w:val="00AD21BD"/>
    <w:rsid w:val="00AD2D1F"/>
    <w:rsid w:val="00AD3092"/>
    <w:rsid w:val="00AD3D01"/>
    <w:rsid w:val="00AD43BE"/>
    <w:rsid w:val="00AD5C4A"/>
    <w:rsid w:val="00AD6835"/>
    <w:rsid w:val="00AD766C"/>
    <w:rsid w:val="00AD7B79"/>
    <w:rsid w:val="00AD7CEB"/>
    <w:rsid w:val="00AD7CF9"/>
    <w:rsid w:val="00AE020B"/>
    <w:rsid w:val="00AE0585"/>
    <w:rsid w:val="00AE14E4"/>
    <w:rsid w:val="00AE16B1"/>
    <w:rsid w:val="00AE1AEC"/>
    <w:rsid w:val="00AE1DCC"/>
    <w:rsid w:val="00AE24D5"/>
    <w:rsid w:val="00AE26CE"/>
    <w:rsid w:val="00AE2DDA"/>
    <w:rsid w:val="00AE3107"/>
    <w:rsid w:val="00AE3320"/>
    <w:rsid w:val="00AE36AD"/>
    <w:rsid w:val="00AE3793"/>
    <w:rsid w:val="00AE4244"/>
    <w:rsid w:val="00AE42A0"/>
    <w:rsid w:val="00AE4CA6"/>
    <w:rsid w:val="00AE4D44"/>
    <w:rsid w:val="00AE52DD"/>
    <w:rsid w:val="00AE5661"/>
    <w:rsid w:val="00AE628B"/>
    <w:rsid w:val="00AE63F4"/>
    <w:rsid w:val="00AE6E08"/>
    <w:rsid w:val="00AE74EB"/>
    <w:rsid w:val="00AE7C4D"/>
    <w:rsid w:val="00AF0068"/>
    <w:rsid w:val="00AF0BEB"/>
    <w:rsid w:val="00AF0D84"/>
    <w:rsid w:val="00AF13EB"/>
    <w:rsid w:val="00AF15E2"/>
    <w:rsid w:val="00AF290F"/>
    <w:rsid w:val="00AF2F6D"/>
    <w:rsid w:val="00AF49BB"/>
    <w:rsid w:val="00AF554B"/>
    <w:rsid w:val="00AF5BEC"/>
    <w:rsid w:val="00AF5D19"/>
    <w:rsid w:val="00AF5D34"/>
    <w:rsid w:val="00AF64C2"/>
    <w:rsid w:val="00AF6A83"/>
    <w:rsid w:val="00AF6BED"/>
    <w:rsid w:val="00AF7300"/>
    <w:rsid w:val="00B017BD"/>
    <w:rsid w:val="00B025FF"/>
    <w:rsid w:val="00B02BDD"/>
    <w:rsid w:val="00B04C83"/>
    <w:rsid w:val="00B04CDC"/>
    <w:rsid w:val="00B05B40"/>
    <w:rsid w:val="00B06D2D"/>
    <w:rsid w:val="00B07028"/>
    <w:rsid w:val="00B079DD"/>
    <w:rsid w:val="00B07F10"/>
    <w:rsid w:val="00B1238A"/>
    <w:rsid w:val="00B12C32"/>
    <w:rsid w:val="00B1318F"/>
    <w:rsid w:val="00B14913"/>
    <w:rsid w:val="00B14B16"/>
    <w:rsid w:val="00B14BF7"/>
    <w:rsid w:val="00B14C4E"/>
    <w:rsid w:val="00B15148"/>
    <w:rsid w:val="00B1562F"/>
    <w:rsid w:val="00B16A70"/>
    <w:rsid w:val="00B16AE5"/>
    <w:rsid w:val="00B16C28"/>
    <w:rsid w:val="00B16CDD"/>
    <w:rsid w:val="00B16DDD"/>
    <w:rsid w:val="00B17B3B"/>
    <w:rsid w:val="00B17C72"/>
    <w:rsid w:val="00B17DE4"/>
    <w:rsid w:val="00B17F2C"/>
    <w:rsid w:val="00B20BEE"/>
    <w:rsid w:val="00B23E48"/>
    <w:rsid w:val="00B24152"/>
    <w:rsid w:val="00B260EE"/>
    <w:rsid w:val="00B261C3"/>
    <w:rsid w:val="00B262D9"/>
    <w:rsid w:val="00B262F6"/>
    <w:rsid w:val="00B262F8"/>
    <w:rsid w:val="00B266BF"/>
    <w:rsid w:val="00B26781"/>
    <w:rsid w:val="00B26E59"/>
    <w:rsid w:val="00B277A5"/>
    <w:rsid w:val="00B27CA2"/>
    <w:rsid w:val="00B30A54"/>
    <w:rsid w:val="00B311D1"/>
    <w:rsid w:val="00B31594"/>
    <w:rsid w:val="00B3202B"/>
    <w:rsid w:val="00B3292C"/>
    <w:rsid w:val="00B32A4F"/>
    <w:rsid w:val="00B336CB"/>
    <w:rsid w:val="00B339DE"/>
    <w:rsid w:val="00B33B2E"/>
    <w:rsid w:val="00B33B6B"/>
    <w:rsid w:val="00B34337"/>
    <w:rsid w:val="00B344DE"/>
    <w:rsid w:val="00B356B6"/>
    <w:rsid w:val="00B3603F"/>
    <w:rsid w:val="00B36AB5"/>
    <w:rsid w:val="00B40398"/>
    <w:rsid w:val="00B4073F"/>
    <w:rsid w:val="00B40F1C"/>
    <w:rsid w:val="00B41204"/>
    <w:rsid w:val="00B42184"/>
    <w:rsid w:val="00B42520"/>
    <w:rsid w:val="00B4270A"/>
    <w:rsid w:val="00B4336E"/>
    <w:rsid w:val="00B43815"/>
    <w:rsid w:val="00B43B0D"/>
    <w:rsid w:val="00B454D4"/>
    <w:rsid w:val="00B45601"/>
    <w:rsid w:val="00B4684C"/>
    <w:rsid w:val="00B51730"/>
    <w:rsid w:val="00B53905"/>
    <w:rsid w:val="00B53A1D"/>
    <w:rsid w:val="00B53F9C"/>
    <w:rsid w:val="00B55837"/>
    <w:rsid w:val="00B562E7"/>
    <w:rsid w:val="00B5685E"/>
    <w:rsid w:val="00B61001"/>
    <w:rsid w:val="00B62C1E"/>
    <w:rsid w:val="00B62D49"/>
    <w:rsid w:val="00B6395A"/>
    <w:rsid w:val="00B64257"/>
    <w:rsid w:val="00B65213"/>
    <w:rsid w:val="00B65287"/>
    <w:rsid w:val="00B657F6"/>
    <w:rsid w:val="00B65936"/>
    <w:rsid w:val="00B66942"/>
    <w:rsid w:val="00B67065"/>
    <w:rsid w:val="00B67099"/>
    <w:rsid w:val="00B671B9"/>
    <w:rsid w:val="00B672C1"/>
    <w:rsid w:val="00B67A84"/>
    <w:rsid w:val="00B71C7D"/>
    <w:rsid w:val="00B72E06"/>
    <w:rsid w:val="00B73BA8"/>
    <w:rsid w:val="00B758B8"/>
    <w:rsid w:val="00B76A7A"/>
    <w:rsid w:val="00B76FC7"/>
    <w:rsid w:val="00B76FEE"/>
    <w:rsid w:val="00B7741B"/>
    <w:rsid w:val="00B77AD6"/>
    <w:rsid w:val="00B77C17"/>
    <w:rsid w:val="00B77F69"/>
    <w:rsid w:val="00B8039A"/>
    <w:rsid w:val="00B8051C"/>
    <w:rsid w:val="00B826DE"/>
    <w:rsid w:val="00B82D85"/>
    <w:rsid w:val="00B83059"/>
    <w:rsid w:val="00B83093"/>
    <w:rsid w:val="00B8362E"/>
    <w:rsid w:val="00B83937"/>
    <w:rsid w:val="00B856D3"/>
    <w:rsid w:val="00B85FEE"/>
    <w:rsid w:val="00B863A8"/>
    <w:rsid w:val="00B870C4"/>
    <w:rsid w:val="00B87140"/>
    <w:rsid w:val="00B87DDC"/>
    <w:rsid w:val="00B87DF2"/>
    <w:rsid w:val="00B9078B"/>
    <w:rsid w:val="00B90DAC"/>
    <w:rsid w:val="00B925EE"/>
    <w:rsid w:val="00B92D9B"/>
    <w:rsid w:val="00B93379"/>
    <w:rsid w:val="00B93A50"/>
    <w:rsid w:val="00B93E0B"/>
    <w:rsid w:val="00B93F54"/>
    <w:rsid w:val="00B950CC"/>
    <w:rsid w:val="00B96296"/>
    <w:rsid w:val="00B9636A"/>
    <w:rsid w:val="00B971A1"/>
    <w:rsid w:val="00B97A07"/>
    <w:rsid w:val="00BA10E1"/>
    <w:rsid w:val="00BA251B"/>
    <w:rsid w:val="00BA26DF"/>
    <w:rsid w:val="00BA2C3F"/>
    <w:rsid w:val="00BA2F32"/>
    <w:rsid w:val="00BA31E7"/>
    <w:rsid w:val="00BA4065"/>
    <w:rsid w:val="00BA56B7"/>
    <w:rsid w:val="00BA5DA2"/>
    <w:rsid w:val="00BA66A4"/>
    <w:rsid w:val="00BA69A9"/>
    <w:rsid w:val="00BA6CAE"/>
    <w:rsid w:val="00BA6EEA"/>
    <w:rsid w:val="00BB2591"/>
    <w:rsid w:val="00BB2E61"/>
    <w:rsid w:val="00BB3477"/>
    <w:rsid w:val="00BB3919"/>
    <w:rsid w:val="00BB40D6"/>
    <w:rsid w:val="00BB5752"/>
    <w:rsid w:val="00BB5C4A"/>
    <w:rsid w:val="00BB73D8"/>
    <w:rsid w:val="00BB76E6"/>
    <w:rsid w:val="00BB7D40"/>
    <w:rsid w:val="00BC01AA"/>
    <w:rsid w:val="00BC08D6"/>
    <w:rsid w:val="00BC0D9E"/>
    <w:rsid w:val="00BC1438"/>
    <w:rsid w:val="00BC2710"/>
    <w:rsid w:val="00BC2758"/>
    <w:rsid w:val="00BC2C7D"/>
    <w:rsid w:val="00BC5420"/>
    <w:rsid w:val="00BC5698"/>
    <w:rsid w:val="00BC7173"/>
    <w:rsid w:val="00BC7993"/>
    <w:rsid w:val="00BC7D40"/>
    <w:rsid w:val="00BD11E4"/>
    <w:rsid w:val="00BD15A8"/>
    <w:rsid w:val="00BD2042"/>
    <w:rsid w:val="00BD2D63"/>
    <w:rsid w:val="00BD3314"/>
    <w:rsid w:val="00BD332E"/>
    <w:rsid w:val="00BD3898"/>
    <w:rsid w:val="00BD3A30"/>
    <w:rsid w:val="00BD3F98"/>
    <w:rsid w:val="00BD40DD"/>
    <w:rsid w:val="00BD41B7"/>
    <w:rsid w:val="00BD5614"/>
    <w:rsid w:val="00BD5D84"/>
    <w:rsid w:val="00BD6029"/>
    <w:rsid w:val="00BD6238"/>
    <w:rsid w:val="00BD681D"/>
    <w:rsid w:val="00BD6EDC"/>
    <w:rsid w:val="00BD7298"/>
    <w:rsid w:val="00BD7475"/>
    <w:rsid w:val="00BD7FC0"/>
    <w:rsid w:val="00BE014F"/>
    <w:rsid w:val="00BE0842"/>
    <w:rsid w:val="00BE0968"/>
    <w:rsid w:val="00BE1369"/>
    <w:rsid w:val="00BE2300"/>
    <w:rsid w:val="00BE26E1"/>
    <w:rsid w:val="00BE34E4"/>
    <w:rsid w:val="00BE4176"/>
    <w:rsid w:val="00BE5032"/>
    <w:rsid w:val="00BE630F"/>
    <w:rsid w:val="00BE7002"/>
    <w:rsid w:val="00BE7242"/>
    <w:rsid w:val="00BE77F0"/>
    <w:rsid w:val="00BF0708"/>
    <w:rsid w:val="00BF1296"/>
    <w:rsid w:val="00BF1C81"/>
    <w:rsid w:val="00BF1DAB"/>
    <w:rsid w:val="00BF2FBC"/>
    <w:rsid w:val="00BF64FD"/>
    <w:rsid w:val="00C00562"/>
    <w:rsid w:val="00C0161B"/>
    <w:rsid w:val="00C01BB8"/>
    <w:rsid w:val="00C02580"/>
    <w:rsid w:val="00C02A73"/>
    <w:rsid w:val="00C02BB8"/>
    <w:rsid w:val="00C031B5"/>
    <w:rsid w:val="00C036CF"/>
    <w:rsid w:val="00C03EC7"/>
    <w:rsid w:val="00C047EB"/>
    <w:rsid w:val="00C059DE"/>
    <w:rsid w:val="00C05E80"/>
    <w:rsid w:val="00C06396"/>
    <w:rsid w:val="00C06F3D"/>
    <w:rsid w:val="00C07223"/>
    <w:rsid w:val="00C07571"/>
    <w:rsid w:val="00C10801"/>
    <w:rsid w:val="00C10E62"/>
    <w:rsid w:val="00C110C9"/>
    <w:rsid w:val="00C11338"/>
    <w:rsid w:val="00C11F8B"/>
    <w:rsid w:val="00C14CB2"/>
    <w:rsid w:val="00C1591A"/>
    <w:rsid w:val="00C15DCE"/>
    <w:rsid w:val="00C20E6F"/>
    <w:rsid w:val="00C21B49"/>
    <w:rsid w:val="00C21B5B"/>
    <w:rsid w:val="00C229B8"/>
    <w:rsid w:val="00C22EDC"/>
    <w:rsid w:val="00C253EF"/>
    <w:rsid w:val="00C2659F"/>
    <w:rsid w:val="00C26E15"/>
    <w:rsid w:val="00C27D9C"/>
    <w:rsid w:val="00C307AD"/>
    <w:rsid w:val="00C30A14"/>
    <w:rsid w:val="00C3188C"/>
    <w:rsid w:val="00C32041"/>
    <w:rsid w:val="00C32D31"/>
    <w:rsid w:val="00C33B16"/>
    <w:rsid w:val="00C34783"/>
    <w:rsid w:val="00C34A79"/>
    <w:rsid w:val="00C34AA5"/>
    <w:rsid w:val="00C34F42"/>
    <w:rsid w:val="00C359A9"/>
    <w:rsid w:val="00C35A77"/>
    <w:rsid w:val="00C362B4"/>
    <w:rsid w:val="00C366BC"/>
    <w:rsid w:val="00C40AC3"/>
    <w:rsid w:val="00C41FA0"/>
    <w:rsid w:val="00C45AC5"/>
    <w:rsid w:val="00C46A54"/>
    <w:rsid w:val="00C46F18"/>
    <w:rsid w:val="00C47284"/>
    <w:rsid w:val="00C47E03"/>
    <w:rsid w:val="00C50093"/>
    <w:rsid w:val="00C51322"/>
    <w:rsid w:val="00C527E0"/>
    <w:rsid w:val="00C533AB"/>
    <w:rsid w:val="00C53D7E"/>
    <w:rsid w:val="00C53FCB"/>
    <w:rsid w:val="00C549A9"/>
    <w:rsid w:val="00C549EF"/>
    <w:rsid w:val="00C54A80"/>
    <w:rsid w:val="00C55A08"/>
    <w:rsid w:val="00C565CF"/>
    <w:rsid w:val="00C56C20"/>
    <w:rsid w:val="00C56DE3"/>
    <w:rsid w:val="00C572A3"/>
    <w:rsid w:val="00C6059D"/>
    <w:rsid w:val="00C61045"/>
    <w:rsid w:val="00C621AD"/>
    <w:rsid w:val="00C62B4B"/>
    <w:rsid w:val="00C62FCB"/>
    <w:rsid w:val="00C62FE1"/>
    <w:rsid w:val="00C6311E"/>
    <w:rsid w:val="00C63518"/>
    <w:rsid w:val="00C6489B"/>
    <w:rsid w:val="00C64A4C"/>
    <w:rsid w:val="00C65FB8"/>
    <w:rsid w:val="00C67236"/>
    <w:rsid w:val="00C6762C"/>
    <w:rsid w:val="00C701BF"/>
    <w:rsid w:val="00C7044F"/>
    <w:rsid w:val="00C70F4E"/>
    <w:rsid w:val="00C719ED"/>
    <w:rsid w:val="00C71C60"/>
    <w:rsid w:val="00C72466"/>
    <w:rsid w:val="00C72CF4"/>
    <w:rsid w:val="00C72FE8"/>
    <w:rsid w:val="00C73B33"/>
    <w:rsid w:val="00C754ED"/>
    <w:rsid w:val="00C76723"/>
    <w:rsid w:val="00C77147"/>
    <w:rsid w:val="00C77AA6"/>
    <w:rsid w:val="00C77AD7"/>
    <w:rsid w:val="00C80466"/>
    <w:rsid w:val="00C80D0E"/>
    <w:rsid w:val="00C80D39"/>
    <w:rsid w:val="00C81033"/>
    <w:rsid w:val="00C8222B"/>
    <w:rsid w:val="00C823BE"/>
    <w:rsid w:val="00C8265C"/>
    <w:rsid w:val="00C82B50"/>
    <w:rsid w:val="00C82D89"/>
    <w:rsid w:val="00C845A3"/>
    <w:rsid w:val="00C85693"/>
    <w:rsid w:val="00C85C9F"/>
    <w:rsid w:val="00C85E71"/>
    <w:rsid w:val="00C868DB"/>
    <w:rsid w:val="00C86C8B"/>
    <w:rsid w:val="00C8706D"/>
    <w:rsid w:val="00C87B0E"/>
    <w:rsid w:val="00C901C7"/>
    <w:rsid w:val="00C90B69"/>
    <w:rsid w:val="00C90D5E"/>
    <w:rsid w:val="00C910CC"/>
    <w:rsid w:val="00C91284"/>
    <w:rsid w:val="00C924EF"/>
    <w:rsid w:val="00C925F6"/>
    <w:rsid w:val="00C926C1"/>
    <w:rsid w:val="00C93562"/>
    <w:rsid w:val="00C9418A"/>
    <w:rsid w:val="00C9542E"/>
    <w:rsid w:val="00C9553E"/>
    <w:rsid w:val="00C95676"/>
    <w:rsid w:val="00C9599F"/>
    <w:rsid w:val="00C95D9F"/>
    <w:rsid w:val="00C96037"/>
    <w:rsid w:val="00CA01F1"/>
    <w:rsid w:val="00CA0531"/>
    <w:rsid w:val="00CA2092"/>
    <w:rsid w:val="00CA26FC"/>
    <w:rsid w:val="00CA31A7"/>
    <w:rsid w:val="00CA31E6"/>
    <w:rsid w:val="00CA3EFC"/>
    <w:rsid w:val="00CA62F9"/>
    <w:rsid w:val="00CA72D9"/>
    <w:rsid w:val="00CB0075"/>
    <w:rsid w:val="00CB04EE"/>
    <w:rsid w:val="00CB24AB"/>
    <w:rsid w:val="00CB2838"/>
    <w:rsid w:val="00CB2E71"/>
    <w:rsid w:val="00CB3E3E"/>
    <w:rsid w:val="00CB451A"/>
    <w:rsid w:val="00CB4C58"/>
    <w:rsid w:val="00CB4F89"/>
    <w:rsid w:val="00CB5348"/>
    <w:rsid w:val="00CB5656"/>
    <w:rsid w:val="00CB5982"/>
    <w:rsid w:val="00CB5D26"/>
    <w:rsid w:val="00CB6006"/>
    <w:rsid w:val="00CB665F"/>
    <w:rsid w:val="00CB6EA5"/>
    <w:rsid w:val="00CB7342"/>
    <w:rsid w:val="00CB76C4"/>
    <w:rsid w:val="00CB7B4B"/>
    <w:rsid w:val="00CC0A87"/>
    <w:rsid w:val="00CC1007"/>
    <w:rsid w:val="00CC3545"/>
    <w:rsid w:val="00CC4D2F"/>
    <w:rsid w:val="00CC4FB6"/>
    <w:rsid w:val="00CC56C1"/>
    <w:rsid w:val="00CC724B"/>
    <w:rsid w:val="00CC7AB4"/>
    <w:rsid w:val="00CC7B26"/>
    <w:rsid w:val="00CD0889"/>
    <w:rsid w:val="00CD1B3B"/>
    <w:rsid w:val="00CD20CC"/>
    <w:rsid w:val="00CD4ABB"/>
    <w:rsid w:val="00CD52AE"/>
    <w:rsid w:val="00CD64ED"/>
    <w:rsid w:val="00CD6F70"/>
    <w:rsid w:val="00CD6FA7"/>
    <w:rsid w:val="00CD7B71"/>
    <w:rsid w:val="00CE0A9D"/>
    <w:rsid w:val="00CE0F76"/>
    <w:rsid w:val="00CE1565"/>
    <w:rsid w:val="00CE1B33"/>
    <w:rsid w:val="00CE244E"/>
    <w:rsid w:val="00CE2DFA"/>
    <w:rsid w:val="00CE3171"/>
    <w:rsid w:val="00CE3B06"/>
    <w:rsid w:val="00CE4082"/>
    <w:rsid w:val="00CE44EF"/>
    <w:rsid w:val="00CE65AD"/>
    <w:rsid w:val="00CE6D6A"/>
    <w:rsid w:val="00CE7A19"/>
    <w:rsid w:val="00CF010D"/>
    <w:rsid w:val="00CF09CA"/>
    <w:rsid w:val="00CF1619"/>
    <w:rsid w:val="00CF2560"/>
    <w:rsid w:val="00CF2719"/>
    <w:rsid w:val="00CF27F7"/>
    <w:rsid w:val="00CF2C46"/>
    <w:rsid w:val="00CF31E2"/>
    <w:rsid w:val="00CF36D5"/>
    <w:rsid w:val="00CF5A72"/>
    <w:rsid w:val="00CF6300"/>
    <w:rsid w:val="00CF6D8D"/>
    <w:rsid w:val="00CF6EE6"/>
    <w:rsid w:val="00CF7FFC"/>
    <w:rsid w:val="00D005D0"/>
    <w:rsid w:val="00D00768"/>
    <w:rsid w:val="00D00865"/>
    <w:rsid w:val="00D00871"/>
    <w:rsid w:val="00D00B2E"/>
    <w:rsid w:val="00D01977"/>
    <w:rsid w:val="00D01EAD"/>
    <w:rsid w:val="00D030FD"/>
    <w:rsid w:val="00D031ED"/>
    <w:rsid w:val="00D06A5A"/>
    <w:rsid w:val="00D06B06"/>
    <w:rsid w:val="00D06B8D"/>
    <w:rsid w:val="00D07107"/>
    <w:rsid w:val="00D07371"/>
    <w:rsid w:val="00D07478"/>
    <w:rsid w:val="00D07BAC"/>
    <w:rsid w:val="00D10353"/>
    <w:rsid w:val="00D10C8B"/>
    <w:rsid w:val="00D1179A"/>
    <w:rsid w:val="00D11CF8"/>
    <w:rsid w:val="00D123A6"/>
    <w:rsid w:val="00D12617"/>
    <w:rsid w:val="00D1295B"/>
    <w:rsid w:val="00D136E9"/>
    <w:rsid w:val="00D143BB"/>
    <w:rsid w:val="00D1483C"/>
    <w:rsid w:val="00D1529D"/>
    <w:rsid w:val="00D15652"/>
    <w:rsid w:val="00D157E3"/>
    <w:rsid w:val="00D163D1"/>
    <w:rsid w:val="00D22C83"/>
    <w:rsid w:val="00D232B1"/>
    <w:rsid w:val="00D23F52"/>
    <w:rsid w:val="00D23FD0"/>
    <w:rsid w:val="00D24315"/>
    <w:rsid w:val="00D2482C"/>
    <w:rsid w:val="00D254FC"/>
    <w:rsid w:val="00D25B14"/>
    <w:rsid w:val="00D25C60"/>
    <w:rsid w:val="00D25E72"/>
    <w:rsid w:val="00D26565"/>
    <w:rsid w:val="00D26749"/>
    <w:rsid w:val="00D304DE"/>
    <w:rsid w:val="00D30973"/>
    <w:rsid w:val="00D30D0E"/>
    <w:rsid w:val="00D31604"/>
    <w:rsid w:val="00D31FCD"/>
    <w:rsid w:val="00D32019"/>
    <w:rsid w:val="00D321AF"/>
    <w:rsid w:val="00D325B2"/>
    <w:rsid w:val="00D32B9B"/>
    <w:rsid w:val="00D333F4"/>
    <w:rsid w:val="00D335F2"/>
    <w:rsid w:val="00D335F4"/>
    <w:rsid w:val="00D339F5"/>
    <w:rsid w:val="00D33C48"/>
    <w:rsid w:val="00D342AE"/>
    <w:rsid w:val="00D346D8"/>
    <w:rsid w:val="00D34CCD"/>
    <w:rsid w:val="00D34D49"/>
    <w:rsid w:val="00D35E5C"/>
    <w:rsid w:val="00D3605C"/>
    <w:rsid w:val="00D37217"/>
    <w:rsid w:val="00D3745B"/>
    <w:rsid w:val="00D378C3"/>
    <w:rsid w:val="00D4001D"/>
    <w:rsid w:val="00D4253B"/>
    <w:rsid w:val="00D43FED"/>
    <w:rsid w:val="00D440EB"/>
    <w:rsid w:val="00D46A46"/>
    <w:rsid w:val="00D46BC0"/>
    <w:rsid w:val="00D4708A"/>
    <w:rsid w:val="00D475C2"/>
    <w:rsid w:val="00D5058F"/>
    <w:rsid w:val="00D521A5"/>
    <w:rsid w:val="00D525D2"/>
    <w:rsid w:val="00D52C7A"/>
    <w:rsid w:val="00D53504"/>
    <w:rsid w:val="00D53E16"/>
    <w:rsid w:val="00D543A1"/>
    <w:rsid w:val="00D54805"/>
    <w:rsid w:val="00D54B0B"/>
    <w:rsid w:val="00D54EEC"/>
    <w:rsid w:val="00D54FA7"/>
    <w:rsid w:val="00D5535D"/>
    <w:rsid w:val="00D56A18"/>
    <w:rsid w:val="00D56ABA"/>
    <w:rsid w:val="00D57010"/>
    <w:rsid w:val="00D57384"/>
    <w:rsid w:val="00D57EE7"/>
    <w:rsid w:val="00D616FF"/>
    <w:rsid w:val="00D619CE"/>
    <w:rsid w:val="00D61C71"/>
    <w:rsid w:val="00D633F4"/>
    <w:rsid w:val="00D639EE"/>
    <w:rsid w:val="00D63D06"/>
    <w:rsid w:val="00D658A6"/>
    <w:rsid w:val="00D65A21"/>
    <w:rsid w:val="00D663C0"/>
    <w:rsid w:val="00D67BC1"/>
    <w:rsid w:val="00D67FD5"/>
    <w:rsid w:val="00D70369"/>
    <w:rsid w:val="00D71AF2"/>
    <w:rsid w:val="00D71E64"/>
    <w:rsid w:val="00D724BC"/>
    <w:rsid w:val="00D72D9D"/>
    <w:rsid w:val="00D73164"/>
    <w:rsid w:val="00D73869"/>
    <w:rsid w:val="00D73F7D"/>
    <w:rsid w:val="00D749D9"/>
    <w:rsid w:val="00D74C30"/>
    <w:rsid w:val="00D74EDD"/>
    <w:rsid w:val="00D74F97"/>
    <w:rsid w:val="00D76933"/>
    <w:rsid w:val="00D76A1B"/>
    <w:rsid w:val="00D76C89"/>
    <w:rsid w:val="00D7706D"/>
    <w:rsid w:val="00D800FB"/>
    <w:rsid w:val="00D81E5D"/>
    <w:rsid w:val="00D824AB"/>
    <w:rsid w:val="00D829A6"/>
    <w:rsid w:val="00D82C84"/>
    <w:rsid w:val="00D83198"/>
    <w:rsid w:val="00D832B1"/>
    <w:rsid w:val="00D83D5F"/>
    <w:rsid w:val="00D8470B"/>
    <w:rsid w:val="00D8752D"/>
    <w:rsid w:val="00D8767F"/>
    <w:rsid w:val="00D87D8B"/>
    <w:rsid w:val="00D90132"/>
    <w:rsid w:val="00D901EB"/>
    <w:rsid w:val="00D90B9B"/>
    <w:rsid w:val="00D90C7A"/>
    <w:rsid w:val="00D91318"/>
    <w:rsid w:val="00D925EC"/>
    <w:rsid w:val="00D93F16"/>
    <w:rsid w:val="00D94078"/>
    <w:rsid w:val="00D965AF"/>
    <w:rsid w:val="00D96C4D"/>
    <w:rsid w:val="00D974B2"/>
    <w:rsid w:val="00D97507"/>
    <w:rsid w:val="00D975AF"/>
    <w:rsid w:val="00D978D9"/>
    <w:rsid w:val="00DA021F"/>
    <w:rsid w:val="00DA0552"/>
    <w:rsid w:val="00DA05E2"/>
    <w:rsid w:val="00DA1AE6"/>
    <w:rsid w:val="00DA1FA9"/>
    <w:rsid w:val="00DA247A"/>
    <w:rsid w:val="00DA2930"/>
    <w:rsid w:val="00DA2D07"/>
    <w:rsid w:val="00DA3BF3"/>
    <w:rsid w:val="00DA6B10"/>
    <w:rsid w:val="00DA6CE7"/>
    <w:rsid w:val="00DA730A"/>
    <w:rsid w:val="00DA7442"/>
    <w:rsid w:val="00DA7648"/>
    <w:rsid w:val="00DA7965"/>
    <w:rsid w:val="00DB30A3"/>
    <w:rsid w:val="00DB33CD"/>
    <w:rsid w:val="00DB37BF"/>
    <w:rsid w:val="00DB3EF5"/>
    <w:rsid w:val="00DB5067"/>
    <w:rsid w:val="00DB53C4"/>
    <w:rsid w:val="00DB639C"/>
    <w:rsid w:val="00DB6463"/>
    <w:rsid w:val="00DB654F"/>
    <w:rsid w:val="00DB69D3"/>
    <w:rsid w:val="00DB6F19"/>
    <w:rsid w:val="00DB7A6F"/>
    <w:rsid w:val="00DC0405"/>
    <w:rsid w:val="00DC0FEC"/>
    <w:rsid w:val="00DC1320"/>
    <w:rsid w:val="00DC162F"/>
    <w:rsid w:val="00DC203F"/>
    <w:rsid w:val="00DC2AEA"/>
    <w:rsid w:val="00DC355F"/>
    <w:rsid w:val="00DC36BE"/>
    <w:rsid w:val="00DC3D07"/>
    <w:rsid w:val="00DC45E0"/>
    <w:rsid w:val="00DC4F60"/>
    <w:rsid w:val="00DC5651"/>
    <w:rsid w:val="00DC5D64"/>
    <w:rsid w:val="00DC644B"/>
    <w:rsid w:val="00DC6A3D"/>
    <w:rsid w:val="00DD0FB8"/>
    <w:rsid w:val="00DD1EEC"/>
    <w:rsid w:val="00DD1F7F"/>
    <w:rsid w:val="00DD213B"/>
    <w:rsid w:val="00DD2352"/>
    <w:rsid w:val="00DD3235"/>
    <w:rsid w:val="00DD3526"/>
    <w:rsid w:val="00DD35B0"/>
    <w:rsid w:val="00DD3D71"/>
    <w:rsid w:val="00DD4736"/>
    <w:rsid w:val="00DD4A4E"/>
    <w:rsid w:val="00DD501B"/>
    <w:rsid w:val="00DD5098"/>
    <w:rsid w:val="00DD535E"/>
    <w:rsid w:val="00DD55A1"/>
    <w:rsid w:val="00DD5DEB"/>
    <w:rsid w:val="00DD62AE"/>
    <w:rsid w:val="00DD6BB1"/>
    <w:rsid w:val="00DD7684"/>
    <w:rsid w:val="00DD788E"/>
    <w:rsid w:val="00DE0879"/>
    <w:rsid w:val="00DE0FF0"/>
    <w:rsid w:val="00DE12B4"/>
    <w:rsid w:val="00DE1855"/>
    <w:rsid w:val="00DE18B8"/>
    <w:rsid w:val="00DE1D2B"/>
    <w:rsid w:val="00DE2762"/>
    <w:rsid w:val="00DE2DDF"/>
    <w:rsid w:val="00DE2E8F"/>
    <w:rsid w:val="00DE37B1"/>
    <w:rsid w:val="00DE4338"/>
    <w:rsid w:val="00DE451B"/>
    <w:rsid w:val="00DE4A45"/>
    <w:rsid w:val="00DE51C8"/>
    <w:rsid w:val="00DE51D1"/>
    <w:rsid w:val="00DE5418"/>
    <w:rsid w:val="00DE55DF"/>
    <w:rsid w:val="00DE58C0"/>
    <w:rsid w:val="00DE5F3C"/>
    <w:rsid w:val="00DE6069"/>
    <w:rsid w:val="00DE6389"/>
    <w:rsid w:val="00DE675F"/>
    <w:rsid w:val="00DE709E"/>
    <w:rsid w:val="00DE7B28"/>
    <w:rsid w:val="00DF0D2E"/>
    <w:rsid w:val="00DF13A4"/>
    <w:rsid w:val="00DF2561"/>
    <w:rsid w:val="00DF30B6"/>
    <w:rsid w:val="00DF41A2"/>
    <w:rsid w:val="00DF529A"/>
    <w:rsid w:val="00DF5655"/>
    <w:rsid w:val="00DF5D73"/>
    <w:rsid w:val="00DF6F9C"/>
    <w:rsid w:val="00DF7493"/>
    <w:rsid w:val="00DF7BA0"/>
    <w:rsid w:val="00DF7EE1"/>
    <w:rsid w:val="00E0009B"/>
    <w:rsid w:val="00E00BF3"/>
    <w:rsid w:val="00E00CE5"/>
    <w:rsid w:val="00E00D82"/>
    <w:rsid w:val="00E0106B"/>
    <w:rsid w:val="00E011E1"/>
    <w:rsid w:val="00E01319"/>
    <w:rsid w:val="00E018FA"/>
    <w:rsid w:val="00E01AF1"/>
    <w:rsid w:val="00E0343E"/>
    <w:rsid w:val="00E0373D"/>
    <w:rsid w:val="00E040CF"/>
    <w:rsid w:val="00E04639"/>
    <w:rsid w:val="00E04C22"/>
    <w:rsid w:val="00E057C3"/>
    <w:rsid w:val="00E06147"/>
    <w:rsid w:val="00E0686C"/>
    <w:rsid w:val="00E06F95"/>
    <w:rsid w:val="00E1028C"/>
    <w:rsid w:val="00E106C3"/>
    <w:rsid w:val="00E1123B"/>
    <w:rsid w:val="00E116C6"/>
    <w:rsid w:val="00E123E1"/>
    <w:rsid w:val="00E12BDB"/>
    <w:rsid w:val="00E14B04"/>
    <w:rsid w:val="00E16597"/>
    <w:rsid w:val="00E16B43"/>
    <w:rsid w:val="00E16C9B"/>
    <w:rsid w:val="00E20806"/>
    <w:rsid w:val="00E20CCE"/>
    <w:rsid w:val="00E21E4C"/>
    <w:rsid w:val="00E22AFE"/>
    <w:rsid w:val="00E22E4C"/>
    <w:rsid w:val="00E23EDC"/>
    <w:rsid w:val="00E24C6E"/>
    <w:rsid w:val="00E24DC2"/>
    <w:rsid w:val="00E2536A"/>
    <w:rsid w:val="00E2556E"/>
    <w:rsid w:val="00E25D3D"/>
    <w:rsid w:val="00E261C3"/>
    <w:rsid w:val="00E27319"/>
    <w:rsid w:val="00E27664"/>
    <w:rsid w:val="00E30572"/>
    <w:rsid w:val="00E3060E"/>
    <w:rsid w:val="00E3121C"/>
    <w:rsid w:val="00E32616"/>
    <w:rsid w:val="00E32635"/>
    <w:rsid w:val="00E32CBE"/>
    <w:rsid w:val="00E32D0B"/>
    <w:rsid w:val="00E330F3"/>
    <w:rsid w:val="00E363ED"/>
    <w:rsid w:val="00E36EC5"/>
    <w:rsid w:val="00E36FBA"/>
    <w:rsid w:val="00E37A4E"/>
    <w:rsid w:val="00E40942"/>
    <w:rsid w:val="00E409DE"/>
    <w:rsid w:val="00E41547"/>
    <w:rsid w:val="00E418B6"/>
    <w:rsid w:val="00E439A4"/>
    <w:rsid w:val="00E45C4F"/>
    <w:rsid w:val="00E46BFA"/>
    <w:rsid w:val="00E4727C"/>
    <w:rsid w:val="00E47FC8"/>
    <w:rsid w:val="00E50DAB"/>
    <w:rsid w:val="00E53337"/>
    <w:rsid w:val="00E53462"/>
    <w:rsid w:val="00E556B9"/>
    <w:rsid w:val="00E558AD"/>
    <w:rsid w:val="00E570BA"/>
    <w:rsid w:val="00E57262"/>
    <w:rsid w:val="00E57874"/>
    <w:rsid w:val="00E57AA1"/>
    <w:rsid w:val="00E57E6B"/>
    <w:rsid w:val="00E60626"/>
    <w:rsid w:val="00E608FE"/>
    <w:rsid w:val="00E61296"/>
    <w:rsid w:val="00E615FB"/>
    <w:rsid w:val="00E61722"/>
    <w:rsid w:val="00E62AEE"/>
    <w:rsid w:val="00E6356C"/>
    <w:rsid w:val="00E6429E"/>
    <w:rsid w:val="00E645DB"/>
    <w:rsid w:val="00E65A3C"/>
    <w:rsid w:val="00E67BBC"/>
    <w:rsid w:val="00E67E0B"/>
    <w:rsid w:val="00E7135B"/>
    <w:rsid w:val="00E713CB"/>
    <w:rsid w:val="00E71426"/>
    <w:rsid w:val="00E72197"/>
    <w:rsid w:val="00E72A82"/>
    <w:rsid w:val="00E73CCF"/>
    <w:rsid w:val="00E74274"/>
    <w:rsid w:val="00E743D5"/>
    <w:rsid w:val="00E75CFE"/>
    <w:rsid w:val="00E75FE1"/>
    <w:rsid w:val="00E80101"/>
    <w:rsid w:val="00E807AB"/>
    <w:rsid w:val="00E80A06"/>
    <w:rsid w:val="00E81B80"/>
    <w:rsid w:val="00E8205D"/>
    <w:rsid w:val="00E83EBF"/>
    <w:rsid w:val="00E841E1"/>
    <w:rsid w:val="00E843BE"/>
    <w:rsid w:val="00E84863"/>
    <w:rsid w:val="00E8527E"/>
    <w:rsid w:val="00E85E34"/>
    <w:rsid w:val="00E86BC9"/>
    <w:rsid w:val="00E86D38"/>
    <w:rsid w:val="00E91458"/>
    <w:rsid w:val="00E92B4C"/>
    <w:rsid w:val="00E93943"/>
    <w:rsid w:val="00E94670"/>
    <w:rsid w:val="00E9472C"/>
    <w:rsid w:val="00E949E4"/>
    <w:rsid w:val="00E952EB"/>
    <w:rsid w:val="00E957D5"/>
    <w:rsid w:val="00E95970"/>
    <w:rsid w:val="00E967EA"/>
    <w:rsid w:val="00E96911"/>
    <w:rsid w:val="00E96D54"/>
    <w:rsid w:val="00E96DAC"/>
    <w:rsid w:val="00E96DD6"/>
    <w:rsid w:val="00E971FF"/>
    <w:rsid w:val="00EA1C9A"/>
    <w:rsid w:val="00EA1CB9"/>
    <w:rsid w:val="00EA266C"/>
    <w:rsid w:val="00EA26D4"/>
    <w:rsid w:val="00EA34AB"/>
    <w:rsid w:val="00EA46DF"/>
    <w:rsid w:val="00EA53C0"/>
    <w:rsid w:val="00EA5BEF"/>
    <w:rsid w:val="00EA6E6C"/>
    <w:rsid w:val="00EA6F36"/>
    <w:rsid w:val="00EA7F6F"/>
    <w:rsid w:val="00EB012D"/>
    <w:rsid w:val="00EB06EB"/>
    <w:rsid w:val="00EB101F"/>
    <w:rsid w:val="00EB10C6"/>
    <w:rsid w:val="00EB162A"/>
    <w:rsid w:val="00EB415A"/>
    <w:rsid w:val="00EB45E4"/>
    <w:rsid w:val="00EB4FA8"/>
    <w:rsid w:val="00EB53E7"/>
    <w:rsid w:val="00EB57D7"/>
    <w:rsid w:val="00EB7489"/>
    <w:rsid w:val="00EB7E39"/>
    <w:rsid w:val="00EB7E8B"/>
    <w:rsid w:val="00EC0A10"/>
    <w:rsid w:val="00EC0B0E"/>
    <w:rsid w:val="00EC0E10"/>
    <w:rsid w:val="00EC1655"/>
    <w:rsid w:val="00EC1B47"/>
    <w:rsid w:val="00EC228F"/>
    <w:rsid w:val="00EC28B4"/>
    <w:rsid w:val="00EC405D"/>
    <w:rsid w:val="00EC475B"/>
    <w:rsid w:val="00EC4CB8"/>
    <w:rsid w:val="00EC567F"/>
    <w:rsid w:val="00EC5EDA"/>
    <w:rsid w:val="00EC63AA"/>
    <w:rsid w:val="00EC6751"/>
    <w:rsid w:val="00EC7450"/>
    <w:rsid w:val="00EC77BE"/>
    <w:rsid w:val="00ED021D"/>
    <w:rsid w:val="00ED2064"/>
    <w:rsid w:val="00ED2339"/>
    <w:rsid w:val="00ED284A"/>
    <w:rsid w:val="00ED2DAC"/>
    <w:rsid w:val="00ED2DCA"/>
    <w:rsid w:val="00ED2F3C"/>
    <w:rsid w:val="00ED3715"/>
    <w:rsid w:val="00ED3C39"/>
    <w:rsid w:val="00ED5C82"/>
    <w:rsid w:val="00ED70C4"/>
    <w:rsid w:val="00ED71F1"/>
    <w:rsid w:val="00ED7303"/>
    <w:rsid w:val="00EE143C"/>
    <w:rsid w:val="00EE3629"/>
    <w:rsid w:val="00EE4270"/>
    <w:rsid w:val="00EE54D3"/>
    <w:rsid w:val="00EE5D13"/>
    <w:rsid w:val="00EE6B8A"/>
    <w:rsid w:val="00EE6FD9"/>
    <w:rsid w:val="00EE7E4D"/>
    <w:rsid w:val="00EE7F19"/>
    <w:rsid w:val="00EF0055"/>
    <w:rsid w:val="00EF0C50"/>
    <w:rsid w:val="00EF121A"/>
    <w:rsid w:val="00EF172E"/>
    <w:rsid w:val="00EF25FF"/>
    <w:rsid w:val="00EF3215"/>
    <w:rsid w:val="00EF34CF"/>
    <w:rsid w:val="00EF623E"/>
    <w:rsid w:val="00EF6948"/>
    <w:rsid w:val="00EF6A25"/>
    <w:rsid w:val="00EF7FEA"/>
    <w:rsid w:val="00F004A5"/>
    <w:rsid w:val="00F006DA"/>
    <w:rsid w:val="00F0203A"/>
    <w:rsid w:val="00F05927"/>
    <w:rsid w:val="00F066D2"/>
    <w:rsid w:val="00F067C1"/>
    <w:rsid w:val="00F10E2F"/>
    <w:rsid w:val="00F11561"/>
    <w:rsid w:val="00F11CA8"/>
    <w:rsid w:val="00F11DFA"/>
    <w:rsid w:val="00F13053"/>
    <w:rsid w:val="00F13177"/>
    <w:rsid w:val="00F131D1"/>
    <w:rsid w:val="00F13FC6"/>
    <w:rsid w:val="00F14100"/>
    <w:rsid w:val="00F148BC"/>
    <w:rsid w:val="00F15B37"/>
    <w:rsid w:val="00F15B85"/>
    <w:rsid w:val="00F16772"/>
    <w:rsid w:val="00F16940"/>
    <w:rsid w:val="00F200D2"/>
    <w:rsid w:val="00F2044F"/>
    <w:rsid w:val="00F204A4"/>
    <w:rsid w:val="00F208BC"/>
    <w:rsid w:val="00F20A72"/>
    <w:rsid w:val="00F2394D"/>
    <w:rsid w:val="00F23D40"/>
    <w:rsid w:val="00F2520E"/>
    <w:rsid w:val="00F25603"/>
    <w:rsid w:val="00F26776"/>
    <w:rsid w:val="00F27926"/>
    <w:rsid w:val="00F27C52"/>
    <w:rsid w:val="00F27F49"/>
    <w:rsid w:val="00F27FA1"/>
    <w:rsid w:val="00F3268A"/>
    <w:rsid w:val="00F32747"/>
    <w:rsid w:val="00F33156"/>
    <w:rsid w:val="00F33F1D"/>
    <w:rsid w:val="00F346AE"/>
    <w:rsid w:val="00F347FD"/>
    <w:rsid w:val="00F37251"/>
    <w:rsid w:val="00F3774A"/>
    <w:rsid w:val="00F37890"/>
    <w:rsid w:val="00F37B57"/>
    <w:rsid w:val="00F423D7"/>
    <w:rsid w:val="00F4272F"/>
    <w:rsid w:val="00F442C5"/>
    <w:rsid w:val="00F464C0"/>
    <w:rsid w:val="00F4728F"/>
    <w:rsid w:val="00F475C2"/>
    <w:rsid w:val="00F47E85"/>
    <w:rsid w:val="00F5001A"/>
    <w:rsid w:val="00F50762"/>
    <w:rsid w:val="00F51CA7"/>
    <w:rsid w:val="00F51E33"/>
    <w:rsid w:val="00F51FB7"/>
    <w:rsid w:val="00F5213A"/>
    <w:rsid w:val="00F522DB"/>
    <w:rsid w:val="00F524F0"/>
    <w:rsid w:val="00F52507"/>
    <w:rsid w:val="00F53C01"/>
    <w:rsid w:val="00F54025"/>
    <w:rsid w:val="00F54F03"/>
    <w:rsid w:val="00F5546E"/>
    <w:rsid w:val="00F555D3"/>
    <w:rsid w:val="00F562DD"/>
    <w:rsid w:val="00F564BF"/>
    <w:rsid w:val="00F56F23"/>
    <w:rsid w:val="00F6084D"/>
    <w:rsid w:val="00F60DCC"/>
    <w:rsid w:val="00F6117B"/>
    <w:rsid w:val="00F61620"/>
    <w:rsid w:val="00F63684"/>
    <w:rsid w:val="00F63911"/>
    <w:rsid w:val="00F63AB3"/>
    <w:rsid w:val="00F64297"/>
    <w:rsid w:val="00F642DA"/>
    <w:rsid w:val="00F65AA5"/>
    <w:rsid w:val="00F67F8D"/>
    <w:rsid w:val="00F70CE0"/>
    <w:rsid w:val="00F71537"/>
    <w:rsid w:val="00F719BC"/>
    <w:rsid w:val="00F71DBA"/>
    <w:rsid w:val="00F72365"/>
    <w:rsid w:val="00F729DD"/>
    <w:rsid w:val="00F741DD"/>
    <w:rsid w:val="00F74D63"/>
    <w:rsid w:val="00F764F6"/>
    <w:rsid w:val="00F765E9"/>
    <w:rsid w:val="00F76FE6"/>
    <w:rsid w:val="00F77385"/>
    <w:rsid w:val="00F81B81"/>
    <w:rsid w:val="00F82261"/>
    <w:rsid w:val="00F830D8"/>
    <w:rsid w:val="00F83464"/>
    <w:rsid w:val="00F85B0E"/>
    <w:rsid w:val="00F86232"/>
    <w:rsid w:val="00F86AFB"/>
    <w:rsid w:val="00F90CE0"/>
    <w:rsid w:val="00F9148E"/>
    <w:rsid w:val="00F9149F"/>
    <w:rsid w:val="00F915FB"/>
    <w:rsid w:val="00F9244F"/>
    <w:rsid w:val="00F9304B"/>
    <w:rsid w:val="00F93FAF"/>
    <w:rsid w:val="00F9521D"/>
    <w:rsid w:val="00F958EB"/>
    <w:rsid w:val="00F959C7"/>
    <w:rsid w:val="00F9687C"/>
    <w:rsid w:val="00F9689E"/>
    <w:rsid w:val="00F96FCF"/>
    <w:rsid w:val="00F97493"/>
    <w:rsid w:val="00FA1E61"/>
    <w:rsid w:val="00FA2A04"/>
    <w:rsid w:val="00FA30E0"/>
    <w:rsid w:val="00FA35B6"/>
    <w:rsid w:val="00FA3ED4"/>
    <w:rsid w:val="00FA3FF7"/>
    <w:rsid w:val="00FA4C7E"/>
    <w:rsid w:val="00FA529F"/>
    <w:rsid w:val="00FA5706"/>
    <w:rsid w:val="00FA5D47"/>
    <w:rsid w:val="00FA6444"/>
    <w:rsid w:val="00FA72B5"/>
    <w:rsid w:val="00FB113C"/>
    <w:rsid w:val="00FB122F"/>
    <w:rsid w:val="00FB14F8"/>
    <w:rsid w:val="00FB186F"/>
    <w:rsid w:val="00FB233F"/>
    <w:rsid w:val="00FB2DD5"/>
    <w:rsid w:val="00FB433E"/>
    <w:rsid w:val="00FB5115"/>
    <w:rsid w:val="00FB5B03"/>
    <w:rsid w:val="00FB5FBC"/>
    <w:rsid w:val="00FB6AF9"/>
    <w:rsid w:val="00FB6B4C"/>
    <w:rsid w:val="00FB704E"/>
    <w:rsid w:val="00FC0424"/>
    <w:rsid w:val="00FC13E4"/>
    <w:rsid w:val="00FC2676"/>
    <w:rsid w:val="00FC3A84"/>
    <w:rsid w:val="00FC4D85"/>
    <w:rsid w:val="00FC5E1C"/>
    <w:rsid w:val="00FC74E3"/>
    <w:rsid w:val="00FD004A"/>
    <w:rsid w:val="00FD037D"/>
    <w:rsid w:val="00FD18D8"/>
    <w:rsid w:val="00FD1BF7"/>
    <w:rsid w:val="00FD21C1"/>
    <w:rsid w:val="00FD4B91"/>
    <w:rsid w:val="00FD6CD1"/>
    <w:rsid w:val="00FD74C0"/>
    <w:rsid w:val="00FD7919"/>
    <w:rsid w:val="00FE0224"/>
    <w:rsid w:val="00FE0D35"/>
    <w:rsid w:val="00FE190A"/>
    <w:rsid w:val="00FE2C15"/>
    <w:rsid w:val="00FE2CCB"/>
    <w:rsid w:val="00FE3F83"/>
    <w:rsid w:val="00FE5804"/>
    <w:rsid w:val="00FE699A"/>
    <w:rsid w:val="00FF0BE7"/>
    <w:rsid w:val="00FF1D03"/>
    <w:rsid w:val="00FF2023"/>
    <w:rsid w:val="00FF25FD"/>
    <w:rsid w:val="00FF29DE"/>
    <w:rsid w:val="00FF2BD2"/>
    <w:rsid w:val="00FF3E95"/>
    <w:rsid w:val="00FF486E"/>
    <w:rsid w:val="00FF504C"/>
    <w:rsid w:val="00FF521F"/>
    <w:rsid w:val="00FF7894"/>
    <w:rsid w:val="00FF7BD1"/>
    <w:rsid w:val="01E833E1"/>
    <w:rsid w:val="025B22F1"/>
    <w:rsid w:val="05785527"/>
    <w:rsid w:val="06F10948"/>
    <w:rsid w:val="071975CA"/>
    <w:rsid w:val="07DE0114"/>
    <w:rsid w:val="089B3627"/>
    <w:rsid w:val="09C87111"/>
    <w:rsid w:val="0A0855DF"/>
    <w:rsid w:val="0AB24E9F"/>
    <w:rsid w:val="0AD95726"/>
    <w:rsid w:val="0AF44688"/>
    <w:rsid w:val="0BA61B5A"/>
    <w:rsid w:val="0CAE2DAE"/>
    <w:rsid w:val="0D4D5C1F"/>
    <w:rsid w:val="0DB447B7"/>
    <w:rsid w:val="10456AA8"/>
    <w:rsid w:val="14BF496A"/>
    <w:rsid w:val="15754C94"/>
    <w:rsid w:val="15844180"/>
    <w:rsid w:val="160B0882"/>
    <w:rsid w:val="16522C49"/>
    <w:rsid w:val="18803921"/>
    <w:rsid w:val="194B491A"/>
    <w:rsid w:val="1A61690B"/>
    <w:rsid w:val="1A736DB8"/>
    <w:rsid w:val="1A833A0F"/>
    <w:rsid w:val="1AE51D90"/>
    <w:rsid w:val="1B9F3E28"/>
    <w:rsid w:val="1BBE5A64"/>
    <w:rsid w:val="1D081CB0"/>
    <w:rsid w:val="1FD60C92"/>
    <w:rsid w:val="223B5A35"/>
    <w:rsid w:val="247840E5"/>
    <w:rsid w:val="253B3D9A"/>
    <w:rsid w:val="262A165C"/>
    <w:rsid w:val="26E90667"/>
    <w:rsid w:val="2AC72787"/>
    <w:rsid w:val="2C046D45"/>
    <w:rsid w:val="2C1C3067"/>
    <w:rsid w:val="2DFD6615"/>
    <w:rsid w:val="305140F0"/>
    <w:rsid w:val="3055606E"/>
    <w:rsid w:val="305A7538"/>
    <w:rsid w:val="31B27A7E"/>
    <w:rsid w:val="31F82F08"/>
    <w:rsid w:val="33D552ED"/>
    <w:rsid w:val="341C7E8A"/>
    <w:rsid w:val="342E64F4"/>
    <w:rsid w:val="34CF1E88"/>
    <w:rsid w:val="35255FE6"/>
    <w:rsid w:val="387B7C18"/>
    <w:rsid w:val="38995F6A"/>
    <w:rsid w:val="39C017E6"/>
    <w:rsid w:val="3A03037E"/>
    <w:rsid w:val="3BBD2E9F"/>
    <w:rsid w:val="3CB0609F"/>
    <w:rsid w:val="3D313175"/>
    <w:rsid w:val="3E567983"/>
    <w:rsid w:val="3FB519C8"/>
    <w:rsid w:val="40E44EE6"/>
    <w:rsid w:val="421A468E"/>
    <w:rsid w:val="441D3743"/>
    <w:rsid w:val="447C09D5"/>
    <w:rsid w:val="44DA785F"/>
    <w:rsid w:val="455E7EDC"/>
    <w:rsid w:val="482A1A6E"/>
    <w:rsid w:val="498F4DBB"/>
    <w:rsid w:val="49C829D3"/>
    <w:rsid w:val="4A107A2D"/>
    <w:rsid w:val="4B62108A"/>
    <w:rsid w:val="4C432F8A"/>
    <w:rsid w:val="4C532B23"/>
    <w:rsid w:val="4C6F3A13"/>
    <w:rsid w:val="4F5620A5"/>
    <w:rsid w:val="4F5B5C4B"/>
    <w:rsid w:val="50010A38"/>
    <w:rsid w:val="521D1022"/>
    <w:rsid w:val="53795DE0"/>
    <w:rsid w:val="555C5EA2"/>
    <w:rsid w:val="55E041E2"/>
    <w:rsid w:val="573616E2"/>
    <w:rsid w:val="57CE4796"/>
    <w:rsid w:val="58100012"/>
    <w:rsid w:val="58C76AAD"/>
    <w:rsid w:val="58FD110E"/>
    <w:rsid w:val="598552F6"/>
    <w:rsid w:val="59866FB3"/>
    <w:rsid w:val="59AB1B93"/>
    <w:rsid w:val="5A025D64"/>
    <w:rsid w:val="5A8F7303"/>
    <w:rsid w:val="5B9D78A6"/>
    <w:rsid w:val="5C194F28"/>
    <w:rsid w:val="5DC44F64"/>
    <w:rsid w:val="5E53354E"/>
    <w:rsid w:val="5E8C0774"/>
    <w:rsid w:val="5FBB0F7E"/>
    <w:rsid w:val="61135144"/>
    <w:rsid w:val="629C6AF5"/>
    <w:rsid w:val="635B7449"/>
    <w:rsid w:val="63B52438"/>
    <w:rsid w:val="64462ACB"/>
    <w:rsid w:val="65972F32"/>
    <w:rsid w:val="65FC67FC"/>
    <w:rsid w:val="68717119"/>
    <w:rsid w:val="6A1658A1"/>
    <w:rsid w:val="6BE9313E"/>
    <w:rsid w:val="6C153EE3"/>
    <w:rsid w:val="6C5A7AD2"/>
    <w:rsid w:val="6D8049B5"/>
    <w:rsid w:val="6DAF6991"/>
    <w:rsid w:val="6E1B6DB2"/>
    <w:rsid w:val="6E9858D2"/>
    <w:rsid w:val="6EC36C52"/>
    <w:rsid w:val="6F297144"/>
    <w:rsid w:val="70426B70"/>
    <w:rsid w:val="70BE4E07"/>
    <w:rsid w:val="75E67B4C"/>
    <w:rsid w:val="77F315D6"/>
    <w:rsid w:val="77FC374A"/>
    <w:rsid w:val="78001F73"/>
    <w:rsid w:val="78A33979"/>
    <w:rsid w:val="79E25F5E"/>
    <w:rsid w:val="7AD32E80"/>
    <w:rsid w:val="7BCB10AD"/>
    <w:rsid w:val="7C28453F"/>
    <w:rsid w:val="7C912C39"/>
    <w:rsid w:val="7DF16D30"/>
    <w:rsid w:val="7FC1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宋体" w:cs="Arial"/>
      <w:bCs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55"/>
    <w:qFormat/>
    <w:uiPriority w:val="0"/>
    <w:pPr>
      <w:numPr>
        <w:ilvl w:val="0"/>
        <w:numId w:val="1"/>
      </w:numPr>
      <w:adjustRightInd w:val="0"/>
      <w:spacing w:before="120" w:after="120" w:line="400" w:lineRule="atLeast"/>
      <w:jc w:val="left"/>
      <w:textAlignment w:val="baseline"/>
      <w:outlineLvl w:val="0"/>
    </w:pPr>
    <w:rPr>
      <w:b/>
      <w:caps/>
      <w:kern w:val="28"/>
      <w:sz w:val="24"/>
      <w:szCs w:val="20"/>
    </w:rPr>
  </w:style>
  <w:style w:type="paragraph" w:styleId="2">
    <w:name w:val="heading 2"/>
    <w:basedOn w:val="3"/>
    <w:next w:val="1"/>
    <w:link w:val="53"/>
    <w:qFormat/>
    <w:uiPriority w:val="0"/>
    <w:pPr>
      <w:numPr>
        <w:ilvl w:val="1"/>
      </w:numPr>
      <w:outlineLvl w:val="1"/>
    </w:pPr>
    <w:rPr>
      <w:b w:val="0"/>
      <w:caps w:val="0"/>
    </w:rPr>
  </w:style>
  <w:style w:type="paragraph" w:styleId="4">
    <w:name w:val="heading 3"/>
    <w:basedOn w:val="2"/>
    <w:next w:val="1"/>
    <w:qFormat/>
    <w:uiPriority w:val="0"/>
    <w:pPr>
      <w:numPr>
        <w:ilvl w:val="2"/>
      </w:numPr>
      <w:outlineLvl w:val="2"/>
    </w:pPr>
  </w:style>
  <w:style w:type="paragraph" w:styleId="5">
    <w:name w:val="heading 4"/>
    <w:basedOn w:val="4"/>
    <w:next w:val="1"/>
    <w:qFormat/>
    <w:uiPriority w:val="0"/>
    <w:pPr>
      <w:numPr>
        <w:ilvl w:val="3"/>
      </w:numPr>
      <w:outlineLvl w:val="3"/>
    </w:pPr>
  </w:style>
  <w:style w:type="paragraph" w:styleId="6">
    <w:name w:val="heading 5"/>
    <w:basedOn w:val="5"/>
    <w:next w:val="1"/>
    <w:qFormat/>
    <w:uiPriority w:val="0"/>
    <w:pPr>
      <w:numPr>
        <w:ilvl w:val="4"/>
      </w:numPr>
      <w:outlineLvl w:val="4"/>
    </w:pPr>
  </w:style>
  <w:style w:type="paragraph" w:styleId="7">
    <w:name w:val="heading 6"/>
    <w:basedOn w:val="6"/>
    <w:next w:val="1"/>
    <w:qFormat/>
    <w:uiPriority w:val="0"/>
    <w:pPr>
      <w:numPr>
        <w:ilvl w:val="5"/>
      </w:numPr>
      <w:outlineLvl w:val="5"/>
    </w:pPr>
  </w:style>
  <w:style w:type="paragraph" w:styleId="8">
    <w:name w:val="heading 7"/>
    <w:basedOn w:val="2"/>
    <w:next w:val="1"/>
    <w:qFormat/>
    <w:uiPriority w:val="0"/>
    <w:pPr>
      <w:numPr>
        <w:ilvl w:val="6"/>
      </w:numPr>
      <w:spacing w:before="0" w:after="0"/>
      <w:outlineLvl w:val="6"/>
    </w:pPr>
    <w:rPr>
      <w:kern w:val="0"/>
    </w:rPr>
  </w:style>
  <w:style w:type="paragraph" w:styleId="9">
    <w:name w:val="heading 8"/>
    <w:basedOn w:val="2"/>
    <w:next w:val="1"/>
    <w:qFormat/>
    <w:uiPriority w:val="0"/>
    <w:pPr>
      <w:numPr>
        <w:ilvl w:val="7"/>
      </w:numPr>
      <w:spacing w:after="0"/>
      <w:jc w:val="center"/>
      <w:outlineLvl w:val="7"/>
    </w:pPr>
  </w:style>
  <w:style w:type="paragraph" w:styleId="10">
    <w:name w:val="heading 9"/>
    <w:basedOn w:val="2"/>
    <w:next w:val="1"/>
    <w:qFormat/>
    <w:uiPriority w:val="0"/>
    <w:pPr>
      <w:numPr>
        <w:ilvl w:val="8"/>
      </w:numPr>
      <w:spacing w:before="0" w:after="0"/>
      <w:outlineLvl w:val="8"/>
    </w:pPr>
  </w:style>
  <w:style w:type="character" w:default="1" w:styleId="41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semiHidden/>
    <w:qFormat/>
    <w:uiPriority w:val="0"/>
    <w:pPr>
      <w:ind w:left="1440"/>
      <w:jc w:val="left"/>
    </w:pPr>
    <w:rPr>
      <w:bCs w:val="0"/>
      <w:sz w:val="18"/>
      <w:szCs w:val="18"/>
    </w:rPr>
  </w:style>
  <w:style w:type="paragraph" w:styleId="12">
    <w:name w:val="Normal Indent"/>
    <w:basedOn w:val="1"/>
    <w:qFormat/>
    <w:uiPriority w:val="0"/>
    <w:pPr>
      <w:tabs>
        <w:tab w:val="left" w:pos="1040"/>
      </w:tabs>
      <w:adjustRightInd w:val="0"/>
      <w:snapToGrid w:val="0"/>
      <w:spacing w:before="80" w:after="80" w:line="288" w:lineRule="auto"/>
      <w:ind w:firstLine="420"/>
    </w:pPr>
    <w:rPr>
      <w:rFonts w:ascii="Univers" w:hAnsi="Univers" w:cs="Times New Roman"/>
      <w:bCs w:val="0"/>
      <w:sz w:val="24"/>
      <w:szCs w:val="20"/>
    </w:rPr>
  </w:style>
  <w:style w:type="paragraph" w:styleId="13">
    <w:name w:val="Document Map"/>
    <w:basedOn w:val="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51"/>
    <w:qFormat/>
    <w:uiPriority w:val="0"/>
    <w:pPr>
      <w:jc w:val="left"/>
    </w:pPr>
    <w:rPr>
      <w:rFonts w:cs="Times New Roman"/>
      <w:lang w:val="zh-CN"/>
    </w:rPr>
  </w:style>
  <w:style w:type="paragraph" w:styleId="15">
    <w:name w:val="Body Text"/>
    <w:basedOn w:val="1"/>
    <w:link w:val="47"/>
    <w:qFormat/>
    <w:uiPriority w:val="0"/>
    <w:pPr>
      <w:adjustRightInd w:val="0"/>
      <w:spacing w:before="120" w:after="120" w:line="400" w:lineRule="atLeast"/>
      <w:textAlignment w:val="baseline"/>
    </w:pPr>
    <w:rPr>
      <w:sz w:val="24"/>
      <w:szCs w:val="20"/>
    </w:rPr>
  </w:style>
  <w:style w:type="paragraph" w:styleId="16">
    <w:name w:val="Body Text Indent"/>
    <w:basedOn w:val="1"/>
    <w:qFormat/>
    <w:uiPriority w:val="0"/>
    <w:pPr>
      <w:spacing w:after="120"/>
      <w:ind w:left="420" w:leftChars="200"/>
    </w:pPr>
  </w:style>
  <w:style w:type="paragraph" w:styleId="17">
    <w:name w:val="index 4"/>
    <w:basedOn w:val="1"/>
    <w:next w:val="1"/>
    <w:semiHidden/>
    <w:qFormat/>
    <w:uiPriority w:val="0"/>
    <w:pPr>
      <w:ind w:left="600" w:leftChars="600"/>
    </w:pPr>
    <w:rPr>
      <w:sz w:val="22"/>
    </w:rPr>
  </w:style>
  <w:style w:type="paragraph" w:styleId="18">
    <w:name w:val="toc 5"/>
    <w:basedOn w:val="19"/>
    <w:next w:val="1"/>
    <w:semiHidden/>
    <w:qFormat/>
    <w:uiPriority w:val="0"/>
    <w:pPr>
      <w:ind w:left="0"/>
      <w:jc w:val="center"/>
    </w:pPr>
    <w:rPr>
      <w:i w:val="0"/>
    </w:rPr>
  </w:style>
  <w:style w:type="paragraph" w:styleId="19">
    <w:name w:val="toc 4"/>
    <w:basedOn w:val="20"/>
    <w:next w:val="1"/>
    <w:semiHidden/>
    <w:qFormat/>
    <w:uiPriority w:val="0"/>
    <w:pPr>
      <w:ind w:left="720"/>
    </w:pPr>
    <w:rPr>
      <w:i/>
      <w:iCs w:val="0"/>
      <w:sz w:val="18"/>
      <w:szCs w:val="18"/>
    </w:rPr>
  </w:style>
  <w:style w:type="paragraph" w:styleId="20">
    <w:name w:val="toc 3"/>
    <w:basedOn w:val="21"/>
    <w:next w:val="1"/>
    <w:qFormat/>
    <w:uiPriority w:val="39"/>
    <w:pPr>
      <w:ind w:left="480"/>
    </w:pPr>
    <w:rPr>
      <w:iCs/>
    </w:rPr>
  </w:style>
  <w:style w:type="paragraph" w:styleId="21">
    <w:name w:val="toc 2"/>
    <w:basedOn w:val="22"/>
    <w:next w:val="1"/>
    <w:qFormat/>
    <w:uiPriority w:val="39"/>
    <w:pPr>
      <w:spacing w:before="0" w:after="0"/>
      <w:ind w:left="240"/>
    </w:pPr>
    <w:rPr>
      <w:b w:val="0"/>
      <w:bCs w:val="0"/>
      <w:caps w:val="0"/>
      <w:szCs w:val="24"/>
    </w:rPr>
  </w:style>
  <w:style w:type="paragraph" w:styleId="22">
    <w:name w:val="toc 1"/>
    <w:basedOn w:val="1"/>
    <w:next w:val="1"/>
    <w:qFormat/>
    <w:uiPriority w:val="39"/>
    <w:pPr>
      <w:spacing w:before="120" w:after="120"/>
      <w:jc w:val="left"/>
    </w:pPr>
    <w:rPr>
      <w:rFonts w:eastAsia="Arial"/>
      <w:b/>
      <w:caps/>
      <w:sz w:val="22"/>
      <w:szCs w:val="20"/>
    </w:rPr>
  </w:style>
  <w:style w:type="paragraph" w:styleId="23">
    <w:name w:val="Plain Text"/>
    <w:basedOn w:val="1"/>
    <w:qFormat/>
    <w:uiPriority w:val="0"/>
    <w:pPr>
      <w:widowControl/>
      <w:jc w:val="left"/>
    </w:pPr>
    <w:rPr>
      <w:rFonts w:ascii="Courier New" w:hAnsi="Courier New" w:cs="Courier New"/>
      <w:bCs w:val="0"/>
      <w:sz w:val="20"/>
      <w:szCs w:val="20"/>
    </w:rPr>
  </w:style>
  <w:style w:type="paragraph" w:styleId="24">
    <w:name w:val="toc 8"/>
    <w:basedOn w:val="1"/>
    <w:next w:val="1"/>
    <w:semiHidden/>
    <w:qFormat/>
    <w:uiPriority w:val="0"/>
    <w:pPr>
      <w:ind w:left="1680"/>
      <w:jc w:val="left"/>
    </w:pPr>
    <w:rPr>
      <w:bCs w:val="0"/>
      <w:sz w:val="18"/>
      <w:szCs w:val="18"/>
    </w:rPr>
  </w:style>
  <w:style w:type="paragraph" w:styleId="25">
    <w:name w:val="index 3"/>
    <w:basedOn w:val="1"/>
    <w:next w:val="1"/>
    <w:semiHidden/>
    <w:qFormat/>
    <w:uiPriority w:val="0"/>
    <w:pPr>
      <w:ind w:left="400" w:leftChars="400"/>
    </w:pPr>
    <w:rPr>
      <w:sz w:val="22"/>
    </w:rPr>
  </w:style>
  <w:style w:type="paragraph" w:styleId="26">
    <w:name w:val="Date"/>
    <w:basedOn w:val="1"/>
    <w:next w:val="1"/>
    <w:qFormat/>
    <w:uiPriority w:val="0"/>
    <w:pPr>
      <w:adjustRightInd w:val="0"/>
      <w:spacing w:before="120" w:after="120" w:line="400" w:lineRule="atLeast"/>
      <w:ind w:left="100" w:leftChars="2500" w:firstLine="284"/>
      <w:jc w:val="left"/>
      <w:textAlignment w:val="baseline"/>
    </w:pPr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link w:val="54"/>
    <w:semiHidden/>
    <w:qFormat/>
    <w:uiPriority w:val="99"/>
    <w:rPr>
      <w:sz w:val="18"/>
      <w:szCs w:val="18"/>
    </w:rPr>
  </w:style>
  <w:style w:type="paragraph" w:styleId="29">
    <w:name w:val="footer"/>
    <w:link w:val="52"/>
    <w:qFormat/>
    <w:uiPriority w:val="99"/>
    <w:pPr>
      <w:widowControl w:val="0"/>
      <w:pBdr>
        <w:top w:val="single" w:color="auto" w:sz="6" w:space="1"/>
      </w:pBdr>
      <w:tabs>
        <w:tab w:val="center" w:pos="4153"/>
        <w:tab w:val="right" w:pos="8306"/>
      </w:tabs>
      <w:adjustRightInd w:val="0"/>
      <w:spacing w:line="240" w:lineRule="atLeast"/>
      <w:textAlignment w:val="baseline"/>
    </w:pPr>
    <w:rPr>
      <w:rFonts w:ascii="Times New Roman" w:hAnsi="Times New Roman" w:eastAsia="宋体" w:cs="Times New Roman"/>
      <w:b/>
      <w:i/>
      <w:caps/>
      <w:sz w:val="24"/>
      <w:lang w:val="en-US" w:eastAsia="zh-CN" w:bidi="ar-SA"/>
    </w:rPr>
  </w:style>
  <w:style w:type="paragraph" w:styleId="30">
    <w:name w:val="header"/>
    <w:basedOn w:val="1"/>
    <w:link w:val="48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rFonts w:ascii="Times New Roman" w:hAnsi="Times New Roman" w:eastAsia="宋体" w:cs="Times New Roman"/>
      <w:b/>
      <w:i/>
      <w:caps/>
      <w:sz w:val="24"/>
      <w:lang w:val="en-US" w:eastAsia="zh-CN" w:bidi="ar-SA"/>
    </w:rPr>
  </w:style>
  <w:style w:type="paragraph" w:styleId="31">
    <w:name w:val="toc 6"/>
    <w:basedOn w:val="1"/>
    <w:next w:val="1"/>
    <w:semiHidden/>
    <w:qFormat/>
    <w:uiPriority w:val="0"/>
    <w:pPr>
      <w:ind w:left="1200"/>
      <w:jc w:val="left"/>
    </w:pPr>
    <w:rPr>
      <w:bCs w:val="0"/>
      <w:sz w:val="18"/>
      <w:szCs w:val="18"/>
    </w:rPr>
  </w:style>
  <w:style w:type="paragraph" w:styleId="32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cs="Times New Roman"/>
      <w:sz w:val="16"/>
      <w:szCs w:val="16"/>
    </w:rPr>
  </w:style>
  <w:style w:type="paragraph" w:styleId="33">
    <w:name w:val="toc 9"/>
    <w:basedOn w:val="1"/>
    <w:next w:val="1"/>
    <w:semiHidden/>
    <w:qFormat/>
    <w:uiPriority w:val="0"/>
    <w:pPr>
      <w:ind w:left="1920"/>
      <w:jc w:val="left"/>
    </w:pPr>
    <w:rPr>
      <w:bCs w:val="0"/>
      <w:sz w:val="18"/>
      <w:szCs w:val="18"/>
    </w:rPr>
  </w:style>
  <w:style w:type="paragraph" w:styleId="3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5">
    <w:name w:val="index 1"/>
    <w:basedOn w:val="1"/>
    <w:next w:val="1"/>
    <w:semiHidden/>
    <w:qFormat/>
    <w:uiPriority w:val="0"/>
    <w:rPr>
      <w:sz w:val="22"/>
    </w:rPr>
  </w:style>
  <w:style w:type="paragraph" w:styleId="36">
    <w:name w:val="index 2"/>
    <w:basedOn w:val="1"/>
    <w:next w:val="1"/>
    <w:semiHidden/>
    <w:qFormat/>
    <w:uiPriority w:val="0"/>
    <w:pPr>
      <w:ind w:left="200" w:leftChars="200"/>
    </w:pPr>
    <w:rPr>
      <w:sz w:val="22"/>
    </w:rPr>
  </w:style>
  <w:style w:type="paragraph" w:styleId="37">
    <w:name w:val="Title"/>
    <w:basedOn w:val="1"/>
    <w:next w:val="1"/>
    <w:link w:val="56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sz w:val="32"/>
      <w:szCs w:val="32"/>
    </w:rPr>
  </w:style>
  <w:style w:type="paragraph" w:styleId="38">
    <w:name w:val="annotation subject"/>
    <w:basedOn w:val="14"/>
    <w:next w:val="14"/>
    <w:link w:val="74"/>
    <w:qFormat/>
    <w:uiPriority w:val="0"/>
    <w:rPr>
      <w:rFonts w:cs="Arial"/>
      <w:b/>
      <w:lang w:val="en-US"/>
    </w:rPr>
  </w:style>
  <w:style w:type="table" w:styleId="40">
    <w:name w:val="Table Grid"/>
    <w:basedOn w:val="39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2">
    <w:name w:val="Strong"/>
    <w:qFormat/>
    <w:uiPriority w:val="22"/>
    <w:rPr>
      <w:b/>
      <w:bCs/>
    </w:rPr>
  </w:style>
  <w:style w:type="character" w:styleId="43">
    <w:name w:val="page number"/>
    <w:qFormat/>
    <w:uiPriority w:val="0"/>
    <w:rPr>
      <w:rFonts w:ascii="Times New Roman" w:hAnsi="Times New Roman" w:eastAsia="宋体"/>
      <w:b/>
      <w:i/>
      <w:caps/>
      <w:sz w:val="24"/>
    </w:rPr>
  </w:style>
  <w:style w:type="character" w:styleId="44">
    <w:name w:val="Hyperlink"/>
    <w:qFormat/>
    <w:uiPriority w:val="99"/>
    <w:rPr>
      <w:color w:val="0000FF"/>
      <w:u w:val="single"/>
    </w:rPr>
  </w:style>
  <w:style w:type="character" w:styleId="45">
    <w:name w:val="annotation reference"/>
    <w:qFormat/>
    <w:uiPriority w:val="0"/>
    <w:rPr>
      <w:sz w:val="21"/>
      <w:szCs w:val="21"/>
    </w:rPr>
  </w:style>
  <w:style w:type="character" w:customStyle="1" w:styleId="46">
    <w:name w:val="apple-style-span"/>
    <w:qFormat/>
    <w:uiPriority w:val="0"/>
  </w:style>
  <w:style w:type="character" w:customStyle="1" w:styleId="47">
    <w:name w:val="正文文本 字符"/>
    <w:link w:val="15"/>
    <w:qFormat/>
    <w:uiPriority w:val="0"/>
    <w:rPr>
      <w:rFonts w:ascii="Arial" w:hAnsi="Arial" w:cs="Arial"/>
      <w:bCs/>
      <w:sz w:val="24"/>
    </w:rPr>
  </w:style>
  <w:style w:type="character" w:customStyle="1" w:styleId="48">
    <w:name w:val="页眉 字符"/>
    <w:link w:val="30"/>
    <w:qFormat/>
    <w:uiPriority w:val="99"/>
    <w:rPr>
      <w:b/>
      <w:i/>
      <w:caps/>
      <w:sz w:val="24"/>
      <w:lang w:val="en-US" w:eastAsia="zh-CN" w:bidi="ar-SA"/>
    </w:rPr>
  </w:style>
  <w:style w:type="character" w:customStyle="1" w:styleId="49">
    <w:name w:val="FormText Char"/>
    <w:link w:val="50"/>
    <w:qFormat/>
    <w:uiPriority w:val="0"/>
    <w:rPr>
      <w:rFonts w:ascii="Univers" w:hAnsi="Univers"/>
      <w:lang w:val="en-US" w:eastAsia="zh-CN" w:bidi="ar-SA"/>
    </w:rPr>
  </w:style>
  <w:style w:type="paragraph" w:customStyle="1" w:styleId="50">
    <w:name w:val="FormText"/>
    <w:link w:val="49"/>
    <w:qFormat/>
    <w:uiPriority w:val="0"/>
    <w:pPr>
      <w:jc w:val="center"/>
    </w:pPr>
    <w:rPr>
      <w:rFonts w:ascii="Univers" w:hAnsi="Univers" w:eastAsia="宋体" w:cs="Times New Roman"/>
      <w:lang w:val="en-US" w:eastAsia="zh-CN" w:bidi="ar-SA"/>
    </w:rPr>
  </w:style>
  <w:style w:type="character" w:customStyle="1" w:styleId="51">
    <w:name w:val="批注文字 字符"/>
    <w:link w:val="14"/>
    <w:qFormat/>
    <w:uiPriority w:val="0"/>
    <w:rPr>
      <w:rFonts w:ascii="Arial" w:hAnsi="Arial" w:cs="Arial"/>
      <w:bCs/>
      <w:sz w:val="21"/>
      <w:szCs w:val="21"/>
    </w:rPr>
  </w:style>
  <w:style w:type="character" w:customStyle="1" w:styleId="52">
    <w:name w:val="页脚 字符"/>
    <w:link w:val="29"/>
    <w:qFormat/>
    <w:uiPriority w:val="99"/>
    <w:rPr>
      <w:b/>
      <w:i/>
      <w:caps/>
      <w:sz w:val="24"/>
      <w:lang w:val="en-US" w:eastAsia="zh-CN" w:bidi="ar-SA"/>
    </w:rPr>
  </w:style>
  <w:style w:type="character" w:customStyle="1" w:styleId="53">
    <w:name w:val="标题 2 字符"/>
    <w:link w:val="2"/>
    <w:qFormat/>
    <w:uiPriority w:val="0"/>
    <w:rPr>
      <w:rFonts w:ascii="Arial" w:hAnsi="Arial" w:cs="Arial"/>
      <w:bCs/>
      <w:kern w:val="28"/>
      <w:sz w:val="24"/>
    </w:rPr>
  </w:style>
  <w:style w:type="character" w:customStyle="1" w:styleId="54">
    <w:name w:val="批注框文本 字符"/>
    <w:link w:val="28"/>
    <w:semiHidden/>
    <w:qFormat/>
    <w:uiPriority w:val="99"/>
    <w:rPr>
      <w:rFonts w:ascii="Arial" w:hAnsi="Arial" w:cs="Arial"/>
      <w:bCs/>
      <w:sz w:val="18"/>
      <w:szCs w:val="18"/>
    </w:rPr>
  </w:style>
  <w:style w:type="character" w:customStyle="1" w:styleId="55">
    <w:name w:val="标题 1 字符"/>
    <w:link w:val="3"/>
    <w:qFormat/>
    <w:uiPriority w:val="0"/>
    <w:rPr>
      <w:rFonts w:ascii="Arial" w:hAnsi="Arial" w:cs="Arial"/>
      <w:b/>
      <w:bCs/>
      <w:caps/>
      <w:kern w:val="28"/>
      <w:sz w:val="24"/>
    </w:rPr>
  </w:style>
  <w:style w:type="character" w:customStyle="1" w:styleId="56">
    <w:name w:val="标题 字符"/>
    <w:link w:val="37"/>
    <w:qFormat/>
    <w:uiPriority w:val="0"/>
    <w:rPr>
      <w:rFonts w:ascii="Cambria" w:hAnsi="Cambria" w:cs="Times New Roman"/>
      <w:b/>
      <w:bCs/>
      <w:sz w:val="32"/>
      <w:szCs w:val="32"/>
    </w:rPr>
  </w:style>
  <w:style w:type="paragraph" w:customStyle="1" w:styleId="5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5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cs="Times New Roman"/>
      <w:bCs w:val="0"/>
      <w:sz w:val="20"/>
      <w:szCs w:val="20"/>
      <w:lang w:eastAsia="en-US"/>
    </w:rPr>
  </w:style>
  <w:style w:type="paragraph" w:customStyle="1" w:styleId="59">
    <w:name w:val="正文文本 21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/>
      <w:ind w:left="2977" w:hanging="2977"/>
      <w:jc w:val="left"/>
      <w:textAlignment w:val="baseline"/>
    </w:pPr>
    <w:rPr>
      <w:rFonts w:ascii="Times New Roman" w:hAnsi="Times New Roman" w:cs="Times New Roman"/>
      <w:bCs w:val="0"/>
      <w:sz w:val="16"/>
      <w:szCs w:val="20"/>
    </w:rPr>
  </w:style>
  <w:style w:type="paragraph" w:customStyle="1" w:styleId="60">
    <w:name w:val="修订1"/>
    <w:semiHidden/>
    <w:qFormat/>
    <w:uiPriority w:val="99"/>
    <w:rPr>
      <w:rFonts w:ascii="Arial" w:hAnsi="Arial" w:eastAsia="宋体" w:cs="Arial"/>
      <w:bCs/>
      <w:sz w:val="21"/>
      <w:szCs w:val="21"/>
      <w:lang w:val="en-US" w:eastAsia="zh-CN" w:bidi="ar-SA"/>
    </w:rPr>
  </w:style>
  <w:style w:type="paragraph" w:customStyle="1" w:styleId="61">
    <w:name w:val="标题 21"/>
    <w:basedOn w:val="1"/>
    <w:qFormat/>
    <w:uiPriority w:val="0"/>
    <w:pPr>
      <w:widowControl/>
      <w:suppressAutoHyphens/>
      <w:autoSpaceDE w:val="0"/>
      <w:ind w:left="709" w:right="281" w:hanging="709"/>
    </w:pPr>
    <w:rPr>
      <w:rFonts w:ascii="Times New Roman" w:hAnsi="Times New Roman" w:eastAsia="Times New Roman" w:cs="Times New Roman"/>
      <w:b/>
      <w:sz w:val="24"/>
      <w:szCs w:val="20"/>
    </w:rPr>
  </w:style>
  <w:style w:type="paragraph" w:customStyle="1" w:styleId="62">
    <w:name w:val="正文 + 左侧:  1.48 厘米"/>
    <w:basedOn w:val="1"/>
    <w:qFormat/>
    <w:uiPriority w:val="0"/>
    <w:pPr>
      <w:spacing w:line="480" w:lineRule="auto"/>
      <w:ind w:left="840"/>
    </w:pPr>
  </w:style>
  <w:style w:type="paragraph" w:customStyle="1" w:styleId="63">
    <w:name w:val="样式1"/>
    <w:qFormat/>
    <w:uiPriority w:val="0"/>
    <w:pPr>
      <w:ind w:left="-57"/>
      <w:jc w:val="center"/>
    </w:pPr>
    <w:rPr>
      <w:rFonts w:ascii="Univers" w:hAnsi="Univers" w:eastAsia="宋体" w:cs="Times New Roman"/>
      <w:caps/>
      <w:sz w:val="24"/>
      <w:lang w:val="en-US" w:eastAsia="zh-CN" w:bidi="ar-SA"/>
    </w:rPr>
  </w:style>
  <w:style w:type="paragraph" w:customStyle="1" w:styleId="64">
    <w:name w:val="ÕýÎÄ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宋体" w:cs="Courier New"/>
      <w:sz w:val="24"/>
      <w:szCs w:val="24"/>
      <w:lang w:val="en-US" w:eastAsia="zh-CN" w:bidi="ar-SA"/>
    </w:rPr>
  </w:style>
  <w:style w:type="paragraph" w:customStyle="1" w:styleId="65">
    <w:name w:val="Index"/>
    <w:basedOn w:val="1"/>
    <w:qFormat/>
    <w:uiPriority w:val="0"/>
    <w:pPr>
      <w:widowControl/>
      <w:suppressLineNumbers/>
      <w:suppressAutoHyphens/>
      <w:jc w:val="left"/>
    </w:pPr>
    <w:rPr>
      <w:rFonts w:ascii="Times New Roman" w:hAnsi="Times New Roman" w:eastAsia="Times New Roman" w:cs="Times New Roman"/>
      <w:bCs w:val="0"/>
      <w:sz w:val="20"/>
      <w:szCs w:val="20"/>
      <w:lang w:val="en-GB"/>
    </w:rPr>
  </w:style>
  <w:style w:type="paragraph" w:customStyle="1" w:styleId="66">
    <w:name w:val="WW-Body Text Indent 21"/>
    <w:basedOn w:val="1"/>
    <w:qFormat/>
    <w:uiPriority w:val="0"/>
    <w:pPr>
      <w:widowControl/>
      <w:overflowPunct w:val="0"/>
      <w:autoSpaceDE w:val="0"/>
      <w:ind w:left="720" w:hanging="720"/>
      <w:jc w:val="left"/>
      <w:textAlignment w:val="baseline"/>
    </w:pPr>
    <w:rPr>
      <w:bCs w:val="0"/>
      <w:szCs w:val="20"/>
      <w:lang w:val="en-GB"/>
    </w:rPr>
  </w:style>
  <w:style w:type="paragraph" w:customStyle="1" w:styleId="67">
    <w:name w:val="Char"/>
    <w:basedOn w:val="1"/>
    <w:next w:val="27"/>
    <w:semiHidden/>
    <w:qFormat/>
    <w:uiPriority w:val="0"/>
    <w:pPr>
      <w:spacing w:line="360" w:lineRule="auto"/>
      <w:ind w:firstLine="480" w:firstLineChars="20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68">
    <w:name w:val="Char1"/>
    <w:basedOn w:val="1"/>
    <w:next w:val="27"/>
    <w:semiHidden/>
    <w:qFormat/>
    <w:uiPriority w:val="0"/>
    <w:pPr>
      <w:spacing w:line="360" w:lineRule="auto"/>
      <w:ind w:firstLine="480" w:firstLineChars="20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69">
    <w:name w:val="批注框文本1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cs="Times New Roman"/>
      <w:bCs w:val="0"/>
      <w:sz w:val="18"/>
      <w:szCs w:val="20"/>
    </w:rPr>
  </w:style>
  <w:style w:type="paragraph" w:customStyle="1" w:styleId="70">
    <w:name w:val="ordinary-output"/>
    <w:basedOn w:val="1"/>
    <w:qFormat/>
    <w:uiPriority w:val="0"/>
    <w:pPr>
      <w:widowControl/>
      <w:spacing w:before="100" w:beforeAutospacing="1" w:after="75" w:line="330" w:lineRule="atLeast"/>
      <w:jc w:val="left"/>
    </w:pPr>
    <w:rPr>
      <w:rFonts w:ascii="宋体" w:hAnsi="宋体" w:cs="宋体"/>
      <w:bCs w:val="0"/>
      <w:color w:val="333333"/>
    </w:rPr>
  </w:style>
  <w:style w:type="paragraph" w:styleId="71">
    <w:name w:val="List Paragraph"/>
    <w:basedOn w:val="1"/>
    <w:qFormat/>
    <w:uiPriority w:val="34"/>
    <w:pPr>
      <w:widowControl/>
      <w:ind w:firstLine="420"/>
    </w:pPr>
    <w:rPr>
      <w:rFonts w:ascii="Calibri" w:hAnsi="Calibri" w:cs="Calibri"/>
      <w:bCs w:val="0"/>
    </w:rPr>
  </w:style>
  <w:style w:type="paragraph" w:customStyle="1" w:styleId="72">
    <w:name w:val="样式3"/>
    <w:basedOn w:val="1"/>
    <w:qFormat/>
    <w:uiPriority w:val="0"/>
    <w:pPr>
      <w:adjustRightInd w:val="0"/>
      <w:spacing w:before="120" w:after="120" w:line="400" w:lineRule="atLeast"/>
      <w:ind w:firstLine="284"/>
      <w:jc w:val="left"/>
      <w:textAlignment w:val="baseline"/>
    </w:pPr>
    <w:rPr>
      <w:sz w:val="24"/>
      <w:szCs w:val="20"/>
    </w:rPr>
  </w:style>
  <w:style w:type="paragraph" w:customStyle="1" w:styleId="73">
    <w:name w:val="WW-Body Text 2"/>
    <w:basedOn w:val="1"/>
    <w:qFormat/>
    <w:uiPriority w:val="0"/>
    <w:pPr>
      <w:widowControl/>
      <w:suppressAutoHyphens/>
      <w:jc w:val="left"/>
    </w:pPr>
    <w:rPr>
      <w:rFonts w:cs="Times New Roman"/>
      <w:bCs w:val="0"/>
      <w:sz w:val="24"/>
      <w:szCs w:val="20"/>
      <w:lang w:val="en-GB"/>
    </w:rPr>
  </w:style>
  <w:style w:type="character" w:customStyle="1" w:styleId="74">
    <w:name w:val="批注主题 字符"/>
    <w:link w:val="38"/>
    <w:qFormat/>
    <w:uiPriority w:val="0"/>
    <w:rPr>
      <w:rFonts w:ascii="Arial" w:hAnsi="Arial" w:cs="Arial"/>
      <w:b/>
      <w:bCs/>
      <w:sz w:val="21"/>
      <w:szCs w:val="21"/>
    </w:rPr>
  </w:style>
  <w:style w:type="paragraph" w:customStyle="1" w:styleId="75">
    <w:name w:val="Char Char"/>
    <w:basedOn w:val="1"/>
    <w:qFormat/>
    <w:uiPriority w:val="0"/>
    <w:pPr>
      <w:adjustRightInd w:val="0"/>
      <w:spacing w:line="360" w:lineRule="auto"/>
      <w:ind w:firstLine="200" w:firstLineChars="200"/>
      <w:jc w:val="left"/>
    </w:pPr>
    <w:rPr>
      <w:rFonts w:ascii="Times New Roman" w:hAnsi="Times New Roman" w:cs="Times New Roman"/>
      <w:bCs w:val="0"/>
      <w:kern w:val="2"/>
      <w:sz w:val="24"/>
      <w:szCs w:val="24"/>
    </w:rPr>
  </w:style>
  <w:style w:type="paragraph" w:customStyle="1" w:styleId="76">
    <w:name w:val="标准文件_二级无标题"/>
    <w:basedOn w:val="77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77">
    <w:name w:val="标准文件_二级条标题"/>
    <w:next w:val="78"/>
    <w:qFormat/>
    <w:uiPriority w:val="0"/>
    <w:pPr>
      <w:widowControl w:val="0"/>
      <w:numPr>
        <w:ilvl w:val="3"/>
        <w:numId w:val="2"/>
      </w:numPr>
      <w:spacing w:before="50" w:beforeLines="50" w:after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8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7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8" Type="http://schemas.openxmlformats.org/officeDocument/2006/relationships/fontTable" Target="fontTable.xml"/><Relationship Id="rId77" Type="http://schemas.openxmlformats.org/officeDocument/2006/relationships/customXml" Target="../customXml/item2.xml"/><Relationship Id="rId76" Type="http://schemas.openxmlformats.org/officeDocument/2006/relationships/numbering" Target="numbering.xml"/><Relationship Id="rId75" Type="http://schemas.openxmlformats.org/officeDocument/2006/relationships/customXml" Target="../customXml/item1.xml"/><Relationship Id="rId74" Type="http://schemas.openxmlformats.org/officeDocument/2006/relationships/image" Target="media/image60.png"/><Relationship Id="rId73" Type="http://schemas.openxmlformats.org/officeDocument/2006/relationships/image" Target="media/image59.png"/><Relationship Id="rId72" Type="http://schemas.openxmlformats.org/officeDocument/2006/relationships/image" Target="media/image58.png"/><Relationship Id="rId71" Type="http://schemas.openxmlformats.org/officeDocument/2006/relationships/image" Target="media/image57.png"/><Relationship Id="rId70" Type="http://schemas.openxmlformats.org/officeDocument/2006/relationships/image" Target="media/image56.png"/><Relationship Id="rId7" Type="http://schemas.openxmlformats.org/officeDocument/2006/relationships/footer" Target="footer3.xml"/><Relationship Id="rId69" Type="http://schemas.openxmlformats.org/officeDocument/2006/relationships/image" Target="media/image55.png"/><Relationship Id="rId68" Type="http://schemas.openxmlformats.org/officeDocument/2006/relationships/image" Target="media/image54.png"/><Relationship Id="rId67" Type="http://schemas.openxmlformats.org/officeDocument/2006/relationships/image" Target="media/image53.png"/><Relationship Id="rId66" Type="http://schemas.openxmlformats.org/officeDocument/2006/relationships/image" Target="media/image52.png"/><Relationship Id="rId65" Type="http://schemas.openxmlformats.org/officeDocument/2006/relationships/image" Target="media/image51.png"/><Relationship Id="rId64" Type="http://schemas.openxmlformats.org/officeDocument/2006/relationships/image" Target="media/image50.png"/><Relationship Id="rId63" Type="http://schemas.openxmlformats.org/officeDocument/2006/relationships/image" Target="media/image49.png"/><Relationship Id="rId62" Type="http://schemas.openxmlformats.org/officeDocument/2006/relationships/image" Target="media/image48.png"/><Relationship Id="rId61" Type="http://schemas.openxmlformats.org/officeDocument/2006/relationships/image" Target="media/image47.png"/><Relationship Id="rId60" Type="http://schemas.openxmlformats.org/officeDocument/2006/relationships/image" Target="media/image46.png"/><Relationship Id="rId6" Type="http://schemas.openxmlformats.org/officeDocument/2006/relationships/footer" Target="footer2.xml"/><Relationship Id="rId59" Type="http://schemas.openxmlformats.org/officeDocument/2006/relationships/image" Target="media/image45.png"/><Relationship Id="rId58" Type="http://schemas.openxmlformats.org/officeDocument/2006/relationships/image" Target="media/image44.png"/><Relationship Id="rId57" Type="http://schemas.openxmlformats.org/officeDocument/2006/relationships/image" Target="media/image43.png"/><Relationship Id="rId56" Type="http://schemas.openxmlformats.org/officeDocument/2006/relationships/image" Target="media/image42.png"/><Relationship Id="rId55" Type="http://schemas.openxmlformats.org/officeDocument/2006/relationships/image" Target="media/image41.png"/><Relationship Id="rId54" Type="http://schemas.openxmlformats.org/officeDocument/2006/relationships/image" Target="media/image40.png"/><Relationship Id="rId53" Type="http://schemas.openxmlformats.org/officeDocument/2006/relationships/image" Target="media/image39.png"/><Relationship Id="rId52" Type="http://schemas.openxmlformats.org/officeDocument/2006/relationships/image" Target="media/image38.png"/><Relationship Id="rId51" Type="http://schemas.openxmlformats.org/officeDocument/2006/relationships/image" Target="media/image37.png"/><Relationship Id="rId50" Type="http://schemas.openxmlformats.org/officeDocument/2006/relationships/image" Target="media/image36.png"/><Relationship Id="rId5" Type="http://schemas.openxmlformats.org/officeDocument/2006/relationships/footer" Target="footer1.xml"/><Relationship Id="rId49" Type="http://schemas.openxmlformats.org/officeDocument/2006/relationships/image" Target="media/image35.png"/><Relationship Id="rId48" Type="http://schemas.openxmlformats.org/officeDocument/2006/relationships/image" Target="media/image34.png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png"/><Relationship Id="rId43" Type="http://schemas.openxmlformats.org/officeDocument/2006/relationships/image" Target="media/image29.png"/><Relationship Id="rId42" Type="http://schemas.openxmlformats.org/officeDocument/2006/relationships/image" Target="media/image28.pn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header" Target="header2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png"/><Relationship Id="rId3" Type="http://schemas.openxmlformats.org/officeDocument/2006/relationships/header" Target="header1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pn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theme" Target="theme/theme1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051679-1259-482C-A130-8C6D3F6749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bhgs</Company>
  <Pages>41</Pages>
  <Words>837</Words>
  <Characters>4776</Characters>
  <Lines>39</Lines>
  <Paragraphs>11</Paragraphs>
  <TotalTime>0</TotalTime>
  <ScaleCrop>false</ScaleCrop>
  <LinksUpToDate>false</LinksUpToDate>
  <CharactersWithSpaces>5602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2019-11-25T06:53:00Z</dcterms:created>
  <dc:creator>孟庆元/研发中心/装备技术公司/海油发展</dc:creator>
  <cp:lastModifiedBy>ex_guowen2</cp:lastModifiedBy>
  <cp:lastPrinted>2025-08-01T08:41:00Z</cp:lastPrinted>
  <dcterms:modified xsi:type="dcterms:W3CDTF">2025-08-01T09:30:18Z</dcterms:modified>
  <dc:title>  </dc:title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2EB5894780DF45A292A1396B5B2C91C2</vt:lpwstr>
  </property>
</Properties>
</file>