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工程技术公司2026年油胺采购专有协议（二次公开）</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1"/>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工程技术公司2026年油胺采购专有协议（二次公开）</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9月14日</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9月18日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7"/>
        <w:rPr>
          <w:rFonts w:hint="eastAsia" w:ascii="仿宋" w:hAnsi="仿宋" w:eastAsia="仿宋" w:cs="Times New Roman"/>
          <w:sz w:val="32"/>
          <w:szCs w:val="32"/>
        </w:rPr>
      </w:pPr>
    </w:p>
    <w:p>
      <w:pPr>
        <w:pStyle w:val="7"/>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9月14日</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1"/>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0"/>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936"/>
        <w:gridCol w:w="1554"/>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序号</w:t>
            </w:r>
          </w:p>
        </w:tc>
        <w:tc>
          <w:tcPr>
            <w:tcW w:w="244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物资名称</w:t>
            </w:r>
          </w:p>
        </w:tc>
        <w:tc>
          <w:tcPr>
            <w:tcW w:w="1936"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规格型号</w:t>
            </w:r>
          </w:p>
        </w:tc>
        <w:tc>
          <w:tcPr>
            <w:tcW w:w="155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lang w:val="en-US" w:eastAsia="zh-CN"/>
              </w:rPr>
              <w:t>年度预估</w:t>
            </w:r>
            <w:r>
              <w:rPr>
                <w:rFonts w:hint="eastAsia" w:ascii="仿宋" w:hAnsi="仿宋" w:eastAsia="仿宋" w:cs="仿宋"/>
                <w:b w:val="0"/>
                <w:bCs w:val="0"/>
                <w:sz w:val="22"/>
                <w:szCs w:val="22"/>
              </w:rPr>
              <w:t>数量及单位</w:t>
            </w:r>
          </w:p>
        </w:tc>
        <w:tc>
          <w:tcPr>
            <w:tcW w:w="118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交货期</w:t>
            </w:r>
          </w:p>
        </w:tc>
        <w:tc>
          <w:tcPr>
            <w:tcW w:w="1064"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交货地点</w:t>
            </w:r>
          </w:p>
        </w:tc>
        <w:tc>
          <w:tcPr>
            <w:tcW w:w="2207" w:type="dxa"/>
          </w:tcPr>
          <w:p>
            <w:pPr>
              <w:pStyle w:val="5"/>
              <w:adjustRightInd w:val="0"/>
              <w:snapToGrid w:val="0"/>
              <w:spacing w:line="240" w:lineRule="auto"/>
              <w:jc w:val="center"/>
              <w:rPr>
                <w:rFonts w:ascii="仿宋" w:hAnsi="仿宋" w:eastAsia="仿宋" w:cs="仿宋"/>
                <w:b w:val="0"/>
                <w:bCs w:val="0"/>
                <w:sz w:val="22"/>
                <w:szCs w:val="22"/>
              </w:rPr>
            </w:pPr>
            <w:r>
              <w:rPr>
                <w:rFonts w:hint="eastAsia" w:ascii="仿宋" w:hAnsi="仿宋" w:eastAsia="仿宋" w:cs="仿宋"/>
                <w:b w:val="0"/>
                <w:bCs w:val="0"/>
                <w:sz w:val="22"/>
                <w:szCs w:val="22"/>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1"/>
                <w:szCs w:val="21"/>
              </w:rPr>
            </w:pPr>
            <w:r>
              <w:rPr>
                <w:rFonts w:hint="eastAsia" w:ascii="仿宋" w:hAnsi="仿宋" w:eastAsia="仿宋" w:cs="仿宋"/>
                <w:b w:val="0"/>
                <w:bCs w:val="0"/>
                <w:i w:val="0"/>
                <w:iCs w:val="0"/>
                <w:color w:val="auto"/>
                <w:spacing w:val="0"/>
                <w:kern w:val="0"/>
                <w:sz w:val="21"/>
                <w:szCs w:val="21"/>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1"/>
                <w:szCs w:val="21"/>
                <w:lang w:eastAsia="zh-CN"/>
              </w:rPr>
            </w:pPr>
            <w:r>
              <w:rPr>
                <w:rFonts w:hint="eastAsia" w:ascii="仿宋" w:hAnsi="仿宋" w:eastAsia="仿宋" w:cs="仿宋"/>
                <w:color w:val="auto"/>
                <w:kern w:val="0"/>
                <w:sz w:val="21"/>
                <w:szCs w:val="21"/>
                <w:highlight w:val="none"/>
                <w:lang w:val="en-US" w:eastAsia="zh-CN" w:bidi="ar-SA"/>
              </w:rPr>
              <w:t>油胺</w:t>
            </w:r>
          </w:p>
        </w:tc>
        <w:tc>
          <w:tcPr>
            <w:tcW w:w="1936" w:type="dxa"/>
            <w:vAlign w:val="center"/>
          </w:tcPr>
          <w:p>
            <w:pPr>
              <w:pStyle w:val="3"/>
              <w:snapToGrid w:val="0"/>
              <w:spacing w:line="240" w:lineRule="auto"/>
              <w:ind w:right="125" w:rightChars="0" w:firstLine="0" w:firstLineChars="0"/>
              <w:jc w:val="center"/>
              <w:rPr>
                <w:rFonts w:hint="default" w:ascii="仿宋" w:hAnsi="仿宋" w:eastAsia="仿宋" w:cs="仿宋"/>
                <w:b w:val="0"/>
                <w:bCs w:val="0"/>
                <w:sz w:val="21"/>
                <w:szCs w:val="21"/>
                <w:lang w:val="en-US" w:eastAsia="zh-CN"/>
              </w:rPr>
            </w:pPr>
            <w:r>
              <w:rPr>
                <w:rFonts w:hint="eastAsia" w:ascii="仿宋" w:hAnsi="仿宋" w:eastAsia="仿宋" w:cs="仿宋"/>
                <w:color w:val="auto"/>
                <w:kern w:val="0"/>
                <w:sz w:val="21"/>
                <w:szCs w:val="21"/>
                <w:highlight w:val="none"/>
                <w:lang w:val="en-US" w:eastAsia="zh-CN" w:bidi="ar-SA"/>
              </w:rPr>
              <w:t>一等品\≥98%</w:t>
            </w:r>
          </w:p>
        </w:tc>
        <w:tc>
          <w:tcPr>
            <w:tcW w:w="1554" w:type="dxa"/>
            <w:vAlign w:val="center"/>
          </w:tcPr>
          <w:p>
            <w:pPr>
              <w:pStyle w:val="5"/>
              <w:ind w:left="0" w:leftChars="0" w:firstLine="0" w:firstLineChars="0"/>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i w:val="0"/>
                <w:iCs w:val="0"/>
                <w:color w:val="auto"/>
                <w:spacing w:val="0"/>
                <w:kern w:val="0"/>
                <w:sz w:val="21"/>
                <w:szCs w:val="21"/>
                <w:highlight w:val="none"/>
                <w:u w:val="none"/>
                <w:lang w:val="en-US" w:eastAsia="zh-CN" w:bidi="ar"/>
              </w:rPr>
              <w:t xml:space="preserve"> 80000KG</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1"/>
                <w:szCs w:val="21"/>
                <w:lang w:eastAsia="zh-CN"/>
              </w:rPr>
            </w:pPr>
            <w:r>
              <w:rPr>
                <w:rFonts w:hint="eastAsia" w:ascii="仿宋" w:hAnsi="仿宋" w:eastAsia="仿宋" w:cs="仿宋"/>
                <w:b w:val="0"/>
                <w:bCs w:val="0"/>
                <w:sz w:val="21"/>
                <w:szCs w:val="21"/>
              </w:rPr>
              <w:t>产品到货周期应在7天内，退换货周期应不超过5天，具体以通知为准。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天津市滨海新区南港工业园区泰汇道6号  中海油（天津）油田化工有限公司</w:t>
            </w:r>
          </w:p>
        </w:tc>
        <w:tc>
          <w:tcPr>
            <w:tcW w:w="2207" w:type="dxa"/>
            <w:vAlign w:val="center"/>
          </w:tcPr>
          <w:p>
            <w:pPr>
              <w:pStyle w:val="5"/>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1"/>
                <w:szCs w:val="21"/>
                <w:lang w:val="en-US" w:eastAsia="zh-CN"/>
              </w:rPr>
              <w:t>45</w:t>
            </w:r>
            <w:r>
              <w:rPr>
                <w:rFonts w:hint="eastAsia" w:ascii="仿宋" w:hAnsi="仿宋" w:eastAsia="仿宋" w:cs="仿宋"/>
                <w:b w:val="0"/>
                <w:bCs w:val="0"/>
                <w:color w:val="000000"/>
                <w:sz w:val="21"/>
                <w:szCs w:val="21"/>
              </w:rPr>
              <w:t>个日历日内以银行电汇支付订单价款</w:t>
            </w:r>
            <w:r>
              <w:rPr>
                <w:rFonts w:hint="eastAsia" w:ascii="仿宋" w:hAnsi="仿宋" w:eastAsia="仿宋" w:cs="仿宋"/>
                <w:b w:val="0"/>
                <w:bCs w:val="0"/>
                <w:color w:val="000000"/>
                <w:sz w:val="21"/>
                <w:szCs w:val="21"/>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9326"/>
      <w:bookmarkStart w:id="3" w:name="_Toc13248929"/>
    </w:p>
    <w:p>
      <w:pPr>
        <w:pStyle w:val="31"/>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3</w:t>
      </w:r>
      <w:r>
        <w:rPr>
          <w:rFonts w:hint="default" w:ascii="仿宋" w:hAnsi="仿宋" w:eastAsia="仿宋" w:cs="仿宋"/>
          <w:b w:val="0"/>
          <w:bCs w:val="0"/>
          <w:sz w:val="24"/>
          <w:szCs w:val="24"/>
          <w:lang w:val="en-US" w:eastAsia="zh-CN"/>
        </w:rPr>
        <w:t>吨</w:t>
      </w:r>
    </w:p>
    <w:p>
      <w:pPr>
        <w:pStyle w:val="31"/>
        <w:spacing w:before="120" w:after="120" w:line="360" w:lineRule="auto"/>
        <w:ind w:left="600"/>
        <w:outlineLvl w:val="0"/>
        <w:rPr>
          <w:rFonts w:hint="default" w:ascii="仿宋" w:hAnsi="仿宋" w:eastAsia="仿宋" w:cs="Times New Roman"/>
          <w:b/>
          <w:bCs/>
          <w:color w:val="auto"/>
          <w:kern w:val="2"/>
          <w:sz w:val="32"/>
          <w:szCs w:val="32"/>
          <w:lang w:val="en-US" w:eastAsia="zh-CN"/>
        </w:rPr>
      </w:pPr>
      <w:r>
        <w:rPr>
          <w:rFonts w:hint="eastAsia" w:ascii="仿宋" w:hAnsi="仿宋" w:eastAsia="仿宋" w:cs="Times New Roman"/>
          <w:b/>
          <w:bCs/>
          <w:color w:val="auto"/>
          <w:kern w:val="2"/>
          <w:sz w:val="32"/>
          <w:szCs w:val="32"/>
          <w:lang w:val="en-US" w:eastAsia="zh-CN"/>
        </w:rPr>
        <w:t xml:space="preserve"> 2、</w:t>
      </w:r>
      <w:r>
        <w:rPr>
          <w:rFonts w:hint="eastAsia" w:ascii="仿宋" w:hAnsi="仿宋" w:eastAsia="仿宋" w:cs="Times New Roman"/>
          <w:b/>
          <w:bCs/>
          <w:color w:val="auto"/>
          <w:kern w:val="2"/>
          <w:sz w:val="32"/>
          <w:szCs w:val="32"/>
        </w:rPr>
        <w:t>主要技术指标</w:t>
      </w:r>
    </w:p>
    <w:bookmarkEnd w:id="2"/>
    <w:bookmarkEnd w:id="3"/>
    <w:p>
      <w:pPr>
        <w:pStyle w:val="2"/>
        <w:ind w:firstLine="560" w:firstLineChars="200"/>
        <w:rPr>
          <w:rFonts w:hint="eastAsia"/>
          <w:lang w:eastAsia="zh-CN"/>
        </w:rPr>
      </w:pPr>
      <w:r>
        <w:rPr>
          <w:rFonts w:hint="eastAsia" w:ascii="仿宋" w:hAnsi="仿宋" w:eastAsia="仿宋" w:cs="仿宋"/>
          <w:bCs/>
          <w:color w:val="auto"/>
          <w:sz w:val="28"/>
          <w:szCs w:val="28"/>
          <w:lang w:val="en-US" w:eastAsia="zh-CN"/>
        </w:rPr>
        <w:t>按照《QB/T 2853-2007 脂肪胺》油胺一等品技术指标设定，如下：</w:t>
      </w:r>
    </w:p>
    <w:tbl>
      <w:tblPr>
        <w:tblStyle w:val="1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5"/>
        <w:gridCol w:w="5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项目</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外观（25℃）</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无色至黄色透明液体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含量，%</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总胺值，mgKOH/g</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207~216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色泽</w:t>
            </w:r>
            <w:r>
              <w:rPr>
                <w:rFonts w:hint="eastAsia" w:ascii="Times New Roman" w:hAnsi="Times New Roman" w:eastAsia="仿宋" w:cs="Times New Roman"/>
                <w:bCs/>
                <w:color w:val="auto"/>
                <w:sz w:val="28"/>
                <w:szCs w:val="28"/>
                <w:lang w:val="en-US" w:eastAsia="zh-CN"/>
              </w:rPr>
              <w:t>，</w:t>
            </w:r>
            <w:r>
              <w:rPr>
                <w:rFonts w:hint="default" w:ascii="Times New Roman" w:hAnsi="Times New Roman" w:eastAsia="仿宋" w:cs="Times New Roman"/>
                <w:bCs/>
                <w:color w:val="auto"/>
                <w:sz w:val="28"/>
                <w:szCs w:val="28"/>
                <w:lang w:val="en-US" w:eastAsia="zh-CN"/>
              </w:rPr>
              <w:t>Hazen</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水分，%</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凝固点，℃</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10~25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3"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碘值，gI</w:t>
            </w:r>
            <w:r>
              <w:rPr>
                <w:rFonts w:hint="default" w:ascii="Times New Roman" w:hAnsi="Times New Roman" w:eastAsia="仿宋" w:cs="Times New Roman"/>
                <w:bCs/>
                <w:color w:val="auto"/>
                <w:sz w:val="28"/>
                <w:szCs w:val="28"/>
                <w:vertAlign w:val="subscript"/>
                <w:lang w:val="en-US" w:eastAsia="zh-CN"/>
              </w:rPr>
              <w:t>2</w:t>
            </w:r>
            <w:r>
              <w:rPr>
                <w:rFonts w:hint="default" w:ascii="Times New Roman" w:hAnsi="Times New Roman" w:eastAsia="仿宋" w:cs="Times New Roman"/>
                <w:bCs/>
                <w:color w:val="auto"/>
                <w:sz w:val="28"/>
                <w:szCs w:val="28"/>
                <w:lang w:val="en-US" w:eastAsia="zh-CN"/>
              </w:rPr>
              <w:t>/100g</w:t>
            </w:r>
          </w:p>
        </w:tc>
        <w:tc>
          <w:tcPr>
            <w:tcW w:w="3046"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≥70</w:t>
            </w:r>
          </w:p>
        </w:tc>
      </w:tr>
    </w:tbl>
    <w:p>
      <w:pPr>
        <w:pStyle w:val="31"/>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9月18日18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0"/>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0"/>
          <w:rFonts w:ascii="仿宋" w:hAnsi="仿宋" w:eastAsia="仿宋" w:cs="Times New Roman"/>
          <w:sz w:val="28"/>
          <w:szCs w:val="28"/>
          <w:lang w:bidi="ar"/>
        </w:rPr>
        <w:t>huangjx14@cnooc.com.cn</w:t>
      </w:r>
      <w:r>
        <w:rPr>
          <w:rStyle w:val="20"/>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0"/>
          <w:rFonts w:ascii="仿宋" w:hAnsi="仿宋" w:eastAsia="仿宋" w:cs="Times New Roman"/>
          <w:sz w:val="28"/>
          <w:szCs w:val="28"/>
          <w:lang w:bidi="ar"/>
        </w:rPr>
      </w:pPr>
      <w:r>
        <w:rPr>
          <w:rStyle w:val="20"/>
          <w:rFonts w:hint="eastAsia" w:ascii="仿宋" w:hAnsi="仿宋" w:eastAsia="仿宋" w:cs="Times New Roman"/>
          <w:sz w:val="28"/>
          <w:szCs w:val="28"/>
          <w:lang w:bidi="ar"/>
        </w:rPr>
        <w:t>社会监督电话：022-25802262</w:t>
      </w:r>
    </w:p>
    <w:p>
      <w:pPr>
        <w:widowControl/>
        <w:spacing w:line="600" w:lineRule="exact"/>
        <w:ind w:firstLine="560" w:firstLineChars="200"/>
        <w:jc w:val="left"/>
        <w:outlineLvl w:val="0"/>
        <w:rPr>
          <w:rStyle w:val="20"/>
          <w:rFonts w:ascii="仿宋" w:hAnsi="仿宋" w:eastAsia="仿宋" w:cs="Times New Roman"/>
          <w:sz w:val="28"/>
          <w:szCs w:val="28"/>
          <w:lang w:bidi="ar"/>
        </w:rPr>
      </w:pPr>
    </w:p>
    <w:p>
      <w:pPr>
        <w:widowControl/>
        <w:spacing w:line="600" w:lineRule="exact"/>
        <w:ind w:firstLine="560" w:firstLineChars="200"/>
        <w:jc w:val="left"/>
        <w:outlineLvl w:val="0"/>
        <w:rPr>
          <w:rStyle w:val="20"/>
          <w:rFonts w:ascii="仿宋" w:hAnsi="仿宋" w:eastAsia="仿宋" w:cs="Times New Roman"/>
          <w:sz w:val="28"/>
          <w:szCs w:val="28"/>
          <w:lang w:bidi="ar"/>
        </w:rPr>
      </w:pPr>
    </w:p>
    <w:p>
      <w:pPr>
        <w:widowControl/>
        <w:spacing w:line="600" w:lineRule="exact"/>
        <w:ind w:firstLine="560" w:firstLineChars="200"/>
        <w:jc w:val="left"/>
        <w:outlineLvl w:val="0"/>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pStyle w:val="7"/>
        <w:rPr>
          <w:rStyle w:val="20"/>
          <w:rFonts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0"/>
        <w:tblW w:w="5045" w:type="pct"/>
        <w:jc w:val="center"/>
        <w:tblLayout w:type="autofit"/>
        <w:tblCellMar>
          <w:top w:w="0" w:type="dxa"/>
          <w:left w:w="0" w:type="dxa"/>
          <w:bottom w:w="0" w:type="dxa"/>
          <w:right w:w="0" w:type="dxa"/>
        </w:tblCellMar>
      </w:tblPr>
      <w:tblGrid>
        <w:gridCol w:w="1318"/>
        <w:gridCol w:w="7076"/>
      </w:tblGrid>
      <w:tr>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2"/>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2"/>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2"/>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.该项采购仅允许制造商参与，不接受代理商、贸易商。</w:t>
            </w:r>
          </w:p>
          <w:p>
            <w:pPr>
              <w:pStyle w:val="32"/>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2"/>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油胺</w:t>
            </w:r>
            <w:bookmarkStart w:id="4" w:name="_GoBack"/>
            <w:bookmarkEnd w:id="4"/>
            <w:r>
              <w:rPr>
                <w:rFonts w:hint="default" w:ascii="仿宋" w:hAnsi="仿宋" w:eastAsia="仿宋" w:cs="仿宋"/>
                <w:sz w:val="24"/>
                <w:szCs w:val="24"/>
                <w:lang w:val="en-US" w:eastAsia="zh-CN"/>
              </w:rPr>
              <w:t>或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w:t>
            </w:r>
          </w:p>
        </w:tc>
      </w:tr>
    </w:tbl>
    <w:p>
      <w:pPr>
        <w:pStyle w:val="7"/>
        <w:rPr>
          <w:rFonts w:ascii="仿宋" w:hAnsi="仿宋" w:eastAsia="仿宋"/>
        </w:rPr>
      </w:pPr>
    </w:p>
    <w:p>
      <w:pPr>
        <w:pStyle w:val="7"/>
        <w:rPr>
          <w:rFonts w:ascii="仿宋" w:hAnsi="仿宋" w:eastAsia="仿宋"/>
        </w:rPr>
      </w:pPr>
    </w:p>
    <w:p>
      <w:pPr>
        <w:pStyle w:val="7"/>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83A49AF"/>
    <w:rsid w:val="0C4D4E59"/>
    <w:rsid w:val="0C616DDD"/>
    <w:rsid w:val="0F3F2B2F"/>
    <w:rsid w:val="11380EA0"/>
    <w:rsid w:val="113C79BD"/>
    <w:rsid w:val="11511F61"/>
    <w:rsid w:val="11A46680"/>
    <w:rsid w:val="125D5E2E"/>
    <w:rsid w:val="12902616"/>
    <w:rsid w:val="13D053C0"/>
    <w:rsid w:val="145F157F"/>
    <w:rsid w:val="173061A8"/>
    <w:rsid w:val="18001EB7"/>
    <w:rsid w:val="194400BE"/>
    <w:rsid w:val="1A9429E0"/>
    <w:rsid w:val="1D0A73B1"/>
    <w:rsid w:val="1DB23D88"/>
    <w:rsid w:val="1E66474C"/>
    <w:rsid w:val="1ECC2895"/>
    <w:rsid w:val="1FC305F0"/>
    <w:rsid w:val="20CC42AE"/>
    <w:rsid w:val="216F239A"/>
    <w:rsid w:val="2245341D"/>
    <w:rsid w:val="22880290"/>
    <w:rsid w:val="23E53F2A"/>
    <w:rsid w:val="24BE47FC"/>
    <w:rsid w:val="278220C7"/>
    <w:rsid w:val="29BB473E"/>
    <w:rsid w:val="2AD33FFA"/>
    <w:rsid w:val="2BCB7E65"/>
    <w:rsid w:val="2BD87947"/>
    <w:rsid w:val="2D410831"/>
    <w:rsid w:val="2DDF18E0"/>
    <w:rsid w:val="2E2F1115"/>
    <w:rsid w:val="2F0A37D0"/>
    <w:rsid w:val="2FB0169F"/>
    <w:rsid w:val="2FC048E3"/>
    <w:rsid w:val="2FF328C9"/>
    <w:rsid w:val="30C41C11"/>
    <w:rsid w:val="329D451D"/>
    <w:rsid w:val="344A2458"/>
    <w:rsid w:val="34C346A0"/>
    <w:rsid w:val="356928AF"/>
    <w:rsid w:val="372B09DB"/>
    <w:rsid w:val="38521F98"/>
    <w:rsid w:val="387A0CA7"/>
    <w:rsid w:val="3AA4467B"/>
    <w:rsid w:val="3C943B5A"/>
    <w:rsid w:val="3EA03BF2"/>
    <w:rsid w:val="3F41091E"/>
    <w:rsid w:val="404D430C"/>
    <w:rsid w:val="41E53E7C"/>
    <w:rsid w:val="434515C1"/>
    <w:rsid w:val="43985384"/>
    <w:rsid w:val="4407712C"/>
    <w:rsid w:val="44457410"/>
    <w:rsid w:val="44DD6666"/>
    <w:rsid w:val="46194469"/>
    <w:rsid w:val="46452296"/>
    <w:rsid w:val="47120827"/>
    <w:rsid w:val="48BB08BB"/>
    <w:rsid w:val="4CE81270"/>
    <w:rsid w:val="4E8A1EFE"/>
    <w:rsid w:val="4EEA3369"/>
    <w:rsid w:val="4FD9320F"/>
    <w:rsid w:val="50330614"/>
    <w:rsid w:val="507906CA"/>
    <w:rsid w:val="52641C79"/>
    <w:rsid w:val="535D2377"/>
    <w:rsid w:val="55081608"/>
    <w:rsid w:val="58843DB0"/>
    <w:rsid w:val="59400090"/>
    <w:rsid w:val="596F1B3B"/>
    <w:rsid w:val="59C30797"/>
    <w:rsid w:val="5A9F3B06"/>
    <w:rsid w:val="5DA84B68"/>
    <w:rsid w:val="5DCE7EA2"/>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Date"/>
    <w:basedOn w:val="1"/>
    <w:next w:val="1"/>
    <w:link w:val="28"/>
    <w:semiHidden/>
    <w:unhideWhenUsed/>
    <w:qFormat/>
    <w:uiPriority w:val="99"/>
    <w:pPr>
      <w:ind w:left="100" w:leftChars="2500"/>
    </w:pPr>
  </w:style>
  <w:style w:type="paragraph" w:styleId="7">
    <w:name w:val="footer"/>
    <w:basedOn w:val="1"/>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333333"/>
      <w:u w:val="none"/>
    </w:rPr>
  </w:style>
  <w:style w:type="character" w:styleId="15">
    <w:name w:val="Emphasis"/>
    <w:basedOn w:val="12"/>
    <w:qFormat/>
    <w:uiPriority w:val="20"/>
    <w:rPr>
      <w:b/>
      <w:bCs/>
    </w:rPr>
  </w:style>
  <w:style w:type="character" w:styleId="16">
    <w:name w:val="HTML Definition"/>
    <w:basedOn w:val="12"/>
    <w:semiHidden/>
    <w:unhideWhenUsed/>
    <w:qFormat/>
    <w:uiPriority w:val="99"/>
  </w:style>
  <w:style w:type="character" w:styleId="17">
    <w:name w:val="HTML Typewriter"/>
    <w:basedOn w:val="12"/>
    <w:semiHidden/>
    <w:unhideWhenUsed/>
    <w:qFormat/>
    <w:uiPriority w:val="99"/>
    <w:rPr>
      <w:rFonts w:hint="default" w:ascii="monospace" w:hAnsi="monospace" w:eastAsia="monospace" w:cs="monospace"/>
      <w:sz w:val="20"/>
    </w:rPr>
  </w:style>
  <w:style w:type="character" w:styleId="18">
    <w:name w:val="HTML Acronym"/>
    <w:basedOn w:val="12"/>
    <w:semiHidden/>
    <w:unhideWhenUsed/>
    <w:qFormat/>
    <w:uiPriority w:val="99"/>
  </w:style>
  <w:style w:type="character" w:styleId="19">
    <w:name w:val="HTML Variable"/>
    <w:basedOn w:val="12"/>
    <w:semiHidden/>
    <w:unhideWhenUsed/>
    <w:qFormat/>
    <w:uiPriority w:val="99"/>
  </w:style>
  <w:style w:type="character" w:styleId="20">
    <w:name w:val="Hyperlink"/>
    <w:basedOn w:val="12"/>
    <w:semiHidden/>
    <w:unhideWhenUsed/>
    <w:qFormat/>
    <w:uiPriority w:val="99"/>
    <w:rPr>
      <w:color w:val="333333"/>
      <w:u w:val="none"/>
    </w:rPr>
  </w:style>
  <w:style w:type="character" w:styleId="21">
    <w:name w:val="HTML Code"/>
    <w:basedOn w:val="12"/>
    <w:semiHidden/>
    <w:unhideWhenUsed/>
    <w:qFormat/>
    <w:uiPriority w:val="99"/>
    <w:rPr>
      <w:rFonts w:hint="default" w:ascii="monospace" w:hAnsi="monospace" w:eastAsia="monospace" w:cs="monospace"/>
      <w:sz w:val="20"/>
    </w:rPr>
  </w:style>
  <w:style w:type="character" w:styleId="22">
    <w:name w:val="HTML Cite"/>
    <w:basedOn w:val="12"/>
    <w:semiHidden/>
    <w:unhideWhenUsed/>
    <w:qFormat/>
    <w:uiPriority w:val="99"/>
  </w:style>
  <w:style w:type="character" w:styleId="23">
    <w:name w:val="HTML Keyboard"/>
    <w:basedOn w:val="12"/>
    <w:semiHidden/>
    <w:unhideWhenUsed/>
    <w:qFormat/>
    <w:uiPriority w:val="99"/>
    <w:rPr>
      <w:rFonts w:ascii="monospace" w:hAnsi="monospace" w:eastAsia="monospace" w:cs="monospace"/>
      <w:sz w:val="20"/>
    </w:rPr>
  </w:style>
  <w:style w:type="character" w:styleId="24">
    <w:name w:val="HTML Sample"/>
    <w:basedOn w:val="12"/>
    <w:semiHidden/>
    <w:unhideWhenUsed/>
    <w:qFormat/>
    <w:uiPriority w:val="99"/>
    <w:rPr>
      <w:rFonts w:hint="default" w:ascii="monospace" w:hAnsi="monospace" w:eastAsia="monospace" w:cs="monospace"/>
    </w:rPr>
  </w:style>
  <w:style w:type="character" w:customStyle="1" w:styleId="25">
    <w:name w:val="页眉 字符"/>
    <w:basedOn w:val="12"/>
    <w:link w:val="8"/>
    <w:qFormat/>
    <w:uiPriority w:val="99"/>
    <w:rPr>
      <w:sz w:val="18"/>
      <w:szCs w:val="18"/>
    </w:rPr>
  </w:style>
  <w:style w:type="character" w:customStyle="1" w:styleId="26">
    <w:name w:val="页脚 字符"/>
    <w:basedOn w:val="12"/>
    <w:link w:val="7"/>
    <w:qFormat/>
    <w:uiPriority w:val="99"/>
    <w:rPr>
      <w:sz w:val="18"/>
      <w:szCs w:val="18"/>
    </w:rPr>
  </w:style>
  <w:style w:type="paragraph" w:styleId="27">
    <w:name w:val="List Paragraph"/>
    <w:basedOn w:val="1"/>
    <w:qFormat/>
    <w:uiPriority w:val="34"/>
    <w:pPr>
      <w:ind w:firstLine="420" w:firstLineChars="200"/>
    </w:pPr>
  </w:style>
  <w:style w:type="character" w:customStyle="1" w:styleId="28">
    <w:name w:val="日期 字符"/>
    <w:basedOn w:val="12"/>
    <w:link w:val="6"/>
    <w:semiHidden/>
    <w:qFormat/>
    <w:uiPriority w:val="99"/>
  </w:style>
  <w:style w:type="character" w:customStyle="1" w:styleId="29">
    <w:name w:val="fontstyle01"/>
    <w:basedOn w:val="12"/>
    <w:qFormat/>
    <w:uiPriority w:val="0"/>
    <w:rPr>
      <w:rFonts w:hint="default" w:ascii="CIDFont+F4" w:hAnsi="CIDFont+F4"/>
      <w:color w:val="000000"/>
      <w:sz w:val="24"/>
      <w:szCs w:val="24"/>
    </w:rPr>
  </w:style>
  <w:style w:type="table" w:customStyle="1" w:styleId="30">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2">
    <w:name w:val="Table Paragraph"/>
    <w:basedOn w:val="1"/>
    <w:qFormat/>
    <w:uiPriority w:val="0"/>
    <w:pPr>
      <w:jc w:val="left"/>
    </w:pPr>
    <w:rPr>
      <w:kern w:val="0"/>
      <w:sz w:val="22"/>
      <w:lang w:eastAsia="en-US"/>
    </w:rPr>
  </w:style>
  <w:style w:type="paragraph" w:customStyle="1" w:styleId="33">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4">
    <w:name w:val="comboiconspanclear"/>
    <w:basedOn w:val="12"/>
    <w:qFormat/>
    <w:uiPriority w:val="0"/>
  </w:style>
  <w:style w:type="character" w:customStyle="1" w:styleId="35">
    <w:name w:val="comboiconspan"/>
    <w:basedOn w:val="12"/>
    <w:qFormat/>
    <w:uiPriority w:val="0"/>
  </w:style>
  <w:style w:type="character" w:customStyle="1" w:styleId="36">
    <w:name w:val="ui-icon48"/>
    <w:basedOn w:val="12"/>
    <w:qFormat/>
    <w:uiPriority w:val="0"/>
  </w:style>
  <w:style w:type="character" w:customStyle="1" w:styleId="37">
    <w:name w:val="clear"/>
    <w:basedOn w:val="12"/>
    <w:qFormat/>
    <w:uiPriority w:val="0"/>
  </w:style>
  <w:style w:type="character" w:customStyle="1" w:styleId="38">
    <w:name w:val="select"/>
    <w:basedOn w:val="12"/>
    <w:qFormat/>
    <w:uiPriority w:val="0"/>
  </w:style>
  <w:style w:type="paragraph" w:customStyle="1" w:styleId="39">
    <w:name w:val="_Style 37"/>
    <w:basedOn w:val="1"/>
    <w:next w:val="1"/>
    <w:qFormat/>
    <w:uiPriority w:val="0"/>
    <w:pPr>
      <w:pBdr>
        <w:bottom w:val="single" w:color="auto" w:sz="6" w:space="1"/>
      </w:pBdr>
      <w:jc w:val="center"/>
    </w:pPr>
    <w:rPr>
      <w:rFonts w:ascii="Arial" w:eastAsia="宋体"/>
      <w:vanish/>
      <w:sz w:val="16"/>
    </w:rPr>
  </w:style>
  <w:style w:type="paragraph" w:customStyle="1" w:styleId="40">
    <w:name w:val="_Style 38"/>
    <w:basedOn w:val="1"/>
    <w:next w:val="1"/>
    <w:qFormat/>
    <w:uiPriority w:val="0"/>
    <w:pPr>
      <w:pBdr>
        <w:top w:val="single" w:color="auto" w:sz="6" w:space="1"/>
      </w:pBdr>
      <w:jc w:val="center"/>
    </w:pPr>
    <w:rPr>
      <w:rFonts w:ascii="Arial" w:eastAsia="宋体"/>
      <w:vanish/>
      <w:sz w:val="16"/>
    </w:rPr>
  </w:style>
  <w:style w:type="character" w:customStyle="1" w:styleId="41">
    <w:name w:val="font31"/>
    <w:basedOn w:val="12"/>
    <w:qFormat/>
    <w:uiPriority w:val="0"/>
    <w:rPr>
      <w:rFonts w:hint="default" w:ascii="Times New Roman" w:hAnsi="Times New Roman" w:cs="Times New Roman"/>
      <w:color w:val="000000"/>
      <w:sz w:val="24"/>
      <w:szCs w:val="24"/>
      <w:u w:val="none"/>
    </w:rPr>
  </w:style>
  <w:style w:type="table" w:customStyle="1" w:styleId="42">
    <w:name w:val="网格型3"/>
    <w:basedOn w:val="10"/>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1</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2026-09-14T06:33:30Z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