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055" w:hanging="1055" w:hangingChars="292"/>
        <w:jc w:val="center"/>
        <w:rPr>
          <w:rFonts w:ascii="宋体" w:hAnsi="宋体"/>
          <w:b/>
          <w:sz w:val="36"/>
          <w:szCs w:val="36"/>
        </w:rPr>
      </w:pPr>
    </w:p>
    <w:p>
      <w:pPr>
        <w:spacing w:line="360" w:lineRule="auto"/>
        <w:ind w:left="1055" w:hanging="1055" w:hangingChars="292"/>
        <w:jc w:val="center"/>
        <w:rPr>
          <w:rFonts w:hint="eastAsia" w:ascii="宋体" w:hAnsi="宋体"/>
          <w:b/>
          <w:sz w:val="36"/>
          <w:szCs w:val="36"/>
        </w:rPr>
      </w:pPr>
    </w:p>
    <w:p>
      <w:pPr>
        <w:spacing w:line="360" w:lineRule="auto"/>
        <w:ind w:left="1290" w:hanging="1290" w:hangingChars="292"/>
        <w:jc w:val="center"/>
        <w:rPr>
          <w:rFonts w:hint="eastAsia" w:ascii="宋体" w:hAnsi="宋体"/>
          <w:b/>
          <w:sz w:val="44"/>
          <w:szCs w:val="44"/>
        </w:rPr>
      </w:pPr>
      <w:r>
        <w:rPr>
          <w:rFonts w:hint="eastAsia" w:ascii="宋体" w:hAnsi="宋体"/>
          <w:b/>
          <w:sz w:val="44"/>
          <w:szCs w:val="44"/>
        </w:rPr>
        <w:t>湖北大峪口化工有限责任公司</w:t>
      </w:r>
    </w:p>
    <w:p>
      <w:pPr>
        <w:spacing w:line="480" w:lineRule="auto"/>
        <w:jc w:val="center"/>
        <w:rPr>
          <w:rFonts w:hint="default" w:ascii="宋体" w:hAnsi="宋体" w:eastAsia="宋体"/>
          <w:b/>
          <w:bCs/>
          <w:sz w:val="44"/>
          <w:szCs w:val="44"/>
          <w:lang w:val="en-US" w:eastAsia="zh-CN"/>
        </w:rPr>
      </w:pPr>
      <w:r>
        <w:rPr>
          <w:rFonts w:hint="eastAsia" w:ascii="宋体" w:hAnsi="宋体"/>
          <w:b/>
          <w:bCs/>
          <w:sz w:val="44"/>
          <w:szCs w:val="44"/>
          <w:lang w:val="en-US" w:eastAsia="zh-CN"/>
        </w:rPr>
        <w:t>除皮山磷石膏干堆库项目组</w:t>
      </w:r>
    </w:p>
    <w:p>
      <w:pPr>
        <w:keepNext w:val="0"/>
        <w:keepLines w:val="0"/>
        <w:widowControl/>
        <w:suppressLineNumbers w:val="0"/>
        <w:jc w:val="center"/>
        <w:rPr>
          <w:rFonts w:hint="default" w:ascii="宋体" w:hAnsi="宋体" w:eastAsia="宋体"/>
          <w:b/>
          <w:bCs/>
          <w:sz w:val="44"/>
          <w:szCs w:val="44"/>
          <w:lang w:val="en-US" w:eastAsia="zh-CN"/>
        </w:rPr>
      </w:pPr>
      <w:r>
        <w:rPr>
          <w:rFonts w:hint="eastAsia" w:ascii="宋体" w:hAnsi="宋体"/>
          <w:b/>
          <w:bCs/>
          <w:sz w:val="44"/>
          <w:szCs w:val="44"/>
          <w:lang w:val="en-US" w:eastAsia="zh-CN"/>
        </w:rPr>
        <w:t>除皮山无害化磷石膏矿坑回填项目水土保持工作服务</w:t>
      </w:r>
    </w:p>
    <w:p>
      <w:pPr>
        <w:jc w:val="center"/>
        <w:rPr>
          <w:rFonts w:hint="eastAsia" w:ascii="宋体" w:hAnsi="宋体"/>
          <w:b/>
          <w:position w:val="-6"/>
          <w:sz w:val="28"/>
        </w:rPr>
      </w:pPr>
    </w:p>
    <w:p>
      <w:pPr>
        <w:jc w:val="center"/>
        <w:rPr>
          <w:rFonts w:hint="eastAsia" w:ascii="宋体" w:hAnsi="宋体"/>
          <w:b/>
          <w:position w:val="-6"/>
          <w:sz w:val="28"/>
        </w:rPr>
      </w:pPr>
    </w:p>
    <w:p>
      <w:pPr>
        <w:rPr>
          <w:rFonts w:hint="eastAsia" w:ascii="宋体" w:hAnsi="宋体"/>
          <w:b/>
          <w:position w:val="-6"/>
          <w:sz w:val="28"/>
        </w:rPr>
      </w:pPr>
    </w:p>
    <w:p>
      <w:pPr>
        <w:spacing w:line="360" w:lineRule="auto"/>
        <w:ind w:left="315" w:hanging="315"/>
        <w:jc w:val="center"/>
        <w:rPr>
          <w:rFonts w:hint="eastAsia" w:ascii="宋体" w:hAnsi="宋体"/>
          <w:b/>
          <w:sz w:val="48"/>
          <w:szCs w:val="48"/>
        </w:rPr>
      </w:pPr>
      <w:r>
        <w:rPr>
          <w:rFonts w:hint="eastAsia" w:ascii="宋体" w:hAnsi="宋体"/>
          <w:b/>
          <w:sz w:val="48"/>
          <w:szCs w:val="48"/>
        </w:rPr>
        <w:t>技术询价文件</w:t>
      </w:r>
    </w:p>
    <w:p>
      <w:pPr>
        <w:spacing w:line="360" w:lineRule="auto"/>
        <w:ind w:left="315" w:hanging="315"/>
        <w:jc w:val="center"/>
        <w:rPr>
          <w:rFonts w:ascii="宋体" w:hAnsi="宋体"/>
          <w:b/>
          <w:sz w:val="48"/>
          <w:szCs w:val="48"/>
        </w:rPr>
      </w:pPr>
      <w:r>
        <w:rPr>
          <w:rFonts w:hint="eastAsia" w:ascii="宋体" w:hAnsi="宋体"/>
          <w:b/>
          <w:sz w:val="48"/>
          <w:szCs w:val="48"/>
        </w:rPr>
        <w:t>（服务类）</w:t>
      </w:r>
    </w:p>
    <w:p>
      <w:pPr>
        <w:spacing w:line="360" w:lineRule="auto"/>
        <w:ind w:left="315" w:hanging="315"/>
        <w:jc w:val="center"/>
        <w:rPr>
          <w:rFonts w:hint="eastAsia" w:ascii="宋体" w:hAnsi="宋体"/>
          <w:b/>
          <w:sz w:val="48"/>
          <w:szCs w:val="48"/>
        </w:rPr>
      </w:pPr>
    </w:p>
    <w:p>
      <w:pPr>
        <w:spacing w:line="360" w:lineRule="auto"/>
        <w:ind w:left="315" w:hanging="315"/>
        <w:jc w:val="center"/>
      </w:pPr>
      <w:r>
        <w:rPr>
          <w:rFonts w:hint="eastAsia" w:ascii="宋体" w:hAnsi="宋体"/>
          <w:b/>
          <w:sz w:val="30"/>
          <w:szCs w:val="30"/>
        </w:rPr>
        <w:t>编制：</w:t>
      </w:r>
    </w:p>
    <w:p>
      <w:pPr>
        <w:spacing w:line="360" w:lineRule="auto"/>
        <w:ind w:left="315" w:hanging="315"/>
        <w:jc w:val="center"/>
      </w:pPr>
      <w:r>
        <w:rPr>
          <w:rFonts w:hint="eastAsia" w:ascii="宋体" w:hAnsi="宋体"/>
          <w:b/>
          <w:sz w:val="30"/>
          <w:szCs w:val="30"/>
        </w:rPr>
        <w:t>审核：</w:t>
      </w:r>
    </w:p>
    <w:p>
      <w:pPr>
        <w:spacing w:line="360" w:lineRule="auto"/>
        <w:ind w:left="315" w:hanging="315"/>
        <w:jc w:val="center"/>
        <w:rPr>
          <w:rFonts w:hint="eastAsia" w:ascii="宋体" w:hAnsi="宋体"/>
          <w:b/>
          <w:sz w:val="30"/>
          <w:szCs w:val="30"/>
        </w:rPr>
      </w:pPr>
      <w:r>
        <w:rPr>
          <w:rFonts w:hint="eastAsia" w:ascii="宋体" w:hAnsi="宋体"/>
          <w:b/>
          <w:sz w:val="30"/>
          <w:szCs w:val="30"/>
        </w:rPr>
        <w:t>审批：</w:t>
      </w:r>
    </w:p>
    <w:p>
      <w:pPr>
        <w:spacing w:line="360" w:lineRule="auto"/>
        <w:ind w:left="315" w:hanging="315"/>
        <w:jc w:val="center"/>
        <w:rPr>
          <w:rFonts w:hint="eastAsia" w:ascii="宋体" w:hAnsi="宋体"/>
          <w:b/>
          <w:sz w:val="48"/>
          <w:szCs w:val="48"/>
        </w:rPr>
      </w:pPr>
    </w:p>
    <w:p>
      <w:pPr>
        <w:rPr>
          <w:rFonts w:hint="eastAsia" w:ascii="宋体" w:hAnsi="宋体"/>
          <w:bCs/>
        </w:rPr>
      </w:pPr>
    </w:p>
    <w:p>
      <w:pPr>
        <w:jc w:val="center"/>
        <w:rPr>
          <w:rFonts w:ascii="宋体" w:hAnsi="宋体"/>
          <w:bCs/>
          <w:sz w:val="28"/>
          <w:szCs w:val="28"/>
        </w:rPr>
      </w:pPr>
      <w:r>
        <w:rPr>
          <w:rFonts w:hint="eastAsia" w:ascii="宋体" w:hAnsi="宋体"/>
          <w:bCs/>
          <w:sz w:val="28"/>
          <w:szCs w:val="28"/>
          <w:lang w:val="en-US" w:eastAsia="zh-CN"/>
        </w:rPr>
        <w:t>2026</w:t>
      </w:r>
      <w:r>
        <w:rPr>
          <w:rFonts w:hint="eastAsia" w:ascii="宋体" w:hAnsi="宋体"/>
          <w:bCs/>
          <w:sz w:val="28"/>
          <w:szCs w:val="28"/>
        </w:rPr>
        <w:t>年</w:t>
      </w:r>
      <w:r>
        <w:rPr>
          <w:rFonts w:hint="eastAsia" w:ascii="宋体" w:hAnsi="宋体"/>
          <w:bCs/>
          <w:sz w:val="28"/>
          <w:szCs w:val="28"/>
          <w:lang w:val="en-US" w:eastAsia="zh-CN"/>
        </w:rPr>
        <w:t>8</w:t>
      </w:r>
      <w:r>
        <w:rPr>
          <w:rFonts w:hint="eastAsia" w:ascii="宋体" w:hAnsi="宋体"/>
          <w:bCs/>
          <w:sz w:val="28"/>
          <w:szCs w:val="28"/>
        </w:rPr>
        <w:t>月</w:t>
      </w:r>
      <w:r>
        <w:rPr>
          <w:rFonts w:hint="eastAsia" w:ascii="宋体" w:hAnsi="宋体"/>
          <w:bCs/>
          <w:sz w:val="28"/>
          <w:szCs w:val="28"/>
          <w:lang w:val="en-US" w:eastAsia="zh-CN"/>
        </w:rPr>
        <w:t>27</w:t>
      </w:r>
      <w:r>
        <w:rPr>
          <w:rFonts w:hint="eastAsia" w:ascii="宋体" w:hAnsi="宋体"/>
          <w:bCs/>
          <w:sz w:val="28"/>
          <w:szCs w:val="28"/>
        </w:rPr>
        <w:t>日</w:t>
      </w:r>
    </w:p>
    <w:p>
      <w:pPr>
        <w:rPr>
          <w:rFonts w:hint="eastAsia" w:ascii="宋体" w:hAnsi="宋体"/>
          <w:bCs/>
          <w:sz w:val="28"/>
          <w:szCs w:val="28"/>
        </w:rPr>
      </w:pPr>
    </w:p>
    <w:p>
      <w:pPr>
        <w:rPr>
          <w:rFonts w:hint="eastAsia" w:ascii="宋体" w:hAnsi="宋体"/>
          <w:bCs/>
          <w:position w:val="-6"/>
        </w:rPr>
        <w:sectPr>
          <w:headerReference r:id="rId4" w:type="first"/>
          <w:headerReference r:id="rId3" w:type="default"/>
          <w:footerReference r:id="rId5" w:type="even"/>
          <w:pgSz w:w="11906" w:h="16838"/>
          <w:pgMar w:top="1440" w:right="1558" w:bottom="936" w:left="1701" w:header="851" w:footer="992" w:gutter="0"/>
          <w:cols w:space="425" w:num="1"/>
          <w:docGrid w:linePitch="312" w:charSpace="0"/>
        </w:sectPr>
      </w:pPr>
    </w:p>
    <w:p>
      <w:pPr>
        <w:jc w:val="center"/>
        <w:rPr>
          <w:rFonts w:ascii="宋体" w:hAnsi="宋体"/>
          <w:b/>
          <w:sz w:val="24"/>
        </w:rPr>
      </w:pPr>
      <w:r>
        <w:rPr>
          <w:rFonts w:hint="eastAsia" w:ascii="宋体" w:hAnsi="宋体"/>
          <w:b/>
          <w:sz w:val="24"/>
        </w:rPr>
        <w:t>目</w:t>
      </w:r>
      <w:r>
        <w:rPr>
          <w:rFonts w:ascii="宋体" w:hAnsi="宋体"/>
          <w:b/>
          <w:sz w:val="24"/>
        </w:rPr>
        <w:t xml:space="preserve"> </w:t>
      </w:r>
      <w:r>
        <w:rPr>
          <w:rFonts w:hint="eastAsia" w:ascii="宋体" w:hAnsi="宋体"/>
          <w:b/>
          <w:sz w:val="24"/>
        </w:rPr>
        <w:t>录</w:t>
      </w:r>
    </w:p>
    <w:p>
      <w:pPr>
        <w:pStyle w:val="6"/>
        <w:tabs>
          <w:tab w:val="left" w:pos="420"/>
        </w:tabs>
        <w:rPr>
          <w:rFonts w:ascii="等线" w:hAnsi="等线" w:eastAsia="等线" w:cs="Times New Roman"/>
          <w:b w:val="0"/>
          <w:bCs w:val="0"/>
          <w:caps w:val="0"/>
          <w:sz w:val="21"/>
          <w:szCs w:val="22"/>
        </w:rPr>
      </w:pPr>
      <w:r>
        <w:rPr>
          <w:rFonts w:ascii="宋体" w:hAnsi="宋体"/>
          <w:sz w:val="24"/>
          <w:szCs w:val="24"/>
        </w:rPr>
        <w:fldChar w:fldCharType="begin"/>
      </w:r>
      <w:r>
        <w:rPr>
          <w:rFonts w:ascii="宋体" w:hAnsi="宋体"/>
          <w:sz w:val="24"/>
          <w:szCs w:val="24"/>
        </w:rPr>
        <w:instrText xml:space="preserve"> TOC \o "1-3" \h \z \u </w:instrText>
      </w:r>
      <w:r>
        <w:rPr>
          <w:rFonts w:ascii="宋体" w:hAnsi="宋体"/>
          <w:sz w:val="24"/>
          <w:szCs w:val="24"/>
        </w:rPr>
        <w:fldChar w:fldCharType="separate"/>
      </w:r>
      <w:r>
        <w:rPr>
          <w:rStyle w:val="13"/>
        </w:rPr>
        <w:fldChar w:fldCharType="begin"/>
      </w:r>
      <w:r>
        <w:rPr>
          <w:rStyle w:val="13"/>
        </w:rPr>
        <w:instrText xml:space="preserve"> </w:instrText>
      </w:r>
      <w:r>
        <w:instrText xml:space="preserve">HYPERLINK \l "_Toc44180031"</w:instrText>
      </w:r>
      <w:r>
        <w:rPr>
          <w:rStyle w:val="13"/>
        </w:rPr>
        <w:instrText xml:space="preserve"> </w:instrText>
      </w:r>
      <w:r>
        <w:rPr>
          <w:rStyle w:val="13"/>
        </w:rPr>
        <w:fldChar w:fldCharType="separate"/>
      </w:r>
      <w:r>
        <w:rPr>
          <w:rStyle w:val="13"/>
          <w:rFonts w:ascii="宋体" w:hAnsi="宋体"/>
        </w:rPr>
        <w:t>1</w:t>
      </w:r>
      <w:r>
        <w:rPr>
          <w:rFonts w:ascii="等线" w:hAnsi="等线" w:eastAsia="等线" w:cs="Times New Roman"/>
          <w:b w:val="0"/>
          <w:bCs w:val="0"/>
          <w:caps w:val="0"/>
          <w:sz w:val="21"/>
          <w:szCs w:val="22"/>
        </w:rPr>
        <w:tab/>
      </w:r>
      <w:r>
        <w:rPr>
          <w:rStyle w:val="13"/>
          <w:rFonts w:ascii="宋体" w:hAnsi="宋体"/>
        </w:rPr>
        <w:t>总则</w:t>
      </w:r>
      <w:r>
        <w:tab/>
      </w:r>
      <w:r>
        <w:fldChar w:fldCharType="begin"/>
      </w:r>
      <w:r>
        <w:instrText xml:space="preserve"> PAGEREF _Toc44180031 \h </w:instrText>
      </w:r>
      <w:r>
        <w:fldChar w:fldCharType="separate"/>
      </w:r>
      <w:r>
        <w:t>2</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"_Toc44180032"</w:instrText>
      </w:r>
      <w:r>
        <w:rPr>
          <w:rStyle w:val="13"/>
        </w:rPr>
        <w:instrText xml:space="preserve"> </w:instrText>
      </w:r>
      <w:r>
        <w:rPr>
          <w:rStyle w:val="13"/>
        </w:rPr>
        <w:fldChar w:fldCharType="separate"/>
      </w:r>
      <w:r>
        <w:rPr>
          <w:rStyle w:val="13"/>
          <w:rFonts w:ascii="宋体" w:hAnsi="宋体"/>
        </w:rPr>
        <w:t>2</w:t>
      </w:r>
      <w:r>
        <w:rPr>
          <w:rFonts w:ascii="等线" w:hAnsi="等线" w:eastAsia="等线" w:cs="Times New Roman"/>
          <w:b w:val="0"/>
          <w:bCs w:val="0"/>
          <w:caps w:val="0"/>
          <w:sz w:val="21"/>
          <w:szCs w:val="22"/>
        </w:rPr>
        <w:tab/>
      </w:r>
      <w:r>
        <w:rPr>
          <w:rStyle w:val="13"/>
          <w:rFonts w:ascii="宋体" w:hAnsi="宋体"/>
        </w:rPr>
        <w:t>项目概况</w:t>
      </w:r>
      <w:r>
        <w:tab/>
      </w:r>
      <w:r>
        <w:fldChar w:fldCharType="begin"/>
      </w:r>
      <w:r>
        <w:instrText xml:space="preserve"> PAGEREF _Toc44180032 \h </w:instrText>
      </w:r>
      <w:r>
        <w:fldChar w:fldCharType="separate"/>
      </w:r>
      <w:r>
        <w:t>2</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"_Toc44180033"</w:instrText>
      </w:r>
      <w:r>
        <w:rPr>
          <w:rStyle w:val="13"/>
        </w:rPr>
        <w:instrText xml:space="preserve"> </w:instrText>
      </w:r>
      <w:r>
        <w:rPr>
          <w:rStyle w:val="13"/>
        </w:rPr>
        <w:fldChar w:fldCharType="separate"/>
      </w:r>
      <w:r>
        <w:rPr>
          <w:rStyle w:val="13"/>
          <w:rFonts w:ascii="宋体" w:hAnsi="宋体"/>
        </w:rPr>
        <w:t>3</w:t>
      </w:r>
      <w:r>
        <w:rPr>
          <w:rFonts w:ascii="等线" w:hAnsi="等线" w:eastAsia="等线" w:cs="Times New Roman"/>
          <w:b w:val="0"/>
          <w:bCs w:val="0"/>
          <w:caps w:val="0"/>
          <w:sz w:val="21"/>
          <w:szCs w:val="22"/>
        </w:rPr>
        <w:tab/>
      </w:r>
      <w:r>
        <w:rPr>
          <w:rStyle w:val="13"/>
          <w:rFonts w:ascii="宋体" w:hAnsi="宋体"/>
        </w:rPr>
        <w:t>标准规范及技术要求</w:t>
      </w:r>
      <w:r>
        <w:tab/>
      </w:r>
      <w:r>
        <w:fldChar w:fldCharType="begin"/>
      </w:r>
      <w:r>
        <w:instrText xml:space="preserve"> PAGEREF _Toc44180033 \h </w:instrText>
      </w:r>
      <w:r>
        <w:fldChar w:fldCharType="separate"/>
      </w:r>
      <w:r>
        <w:t>3</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"_Toc44180034"</w:instrText>
      </w:r>
      <w:r>
        <w:rPr>
          <w:rStyle w:val="13"/>
        </w:rPr>
        <w:instrText xml:space="preserve"> </w:instrText>
      </w:r>
      <w:r>
        <w:rPr>
          <w:rStyle w:val="13"/>
        </w:rPr>
        <w:fldChar w:fldCharType="separate"/>
      </w:r>
      <w:r>
        <w:rPr>
          <w:rStyle w:val="13"/>
          <w:rFonts w:ascii="宋体" w:hAnsi="宋体"/>
        </w:rPr>
        <w:t>3.1</w:t>
      </w:r>
      <w:r>
        <w:rPr>
          <w:rFonts w:ascii="等线" w:hAnsi="等线" w:eastAsia="等线" w:cs="Times New Roman"/>
          <w:b w:val="0"/>
          <w:bCs w:val="0"/>
          <w:caps w:val="0"/>
          <w:sz w:val="21"/>
          <w:szCs w:val="22"/>
        </w:rPr>
        <w:tab/>
      </w:r>
      <w:r>
        <w:rPr>
          <w:rStyle w:val="13"/>
          <w:rFonts w:ascii="宋体" w:hAnsi="宋体"/>
        </w:rPr>
        <w:t>标准规范</w:t>
      </w:r>
      <w:r>
        <w:tab/>
      </w:r>
      <w:r>
        <w:fldChar w:fldCharType="begin"/>
      </w:r>
      <w:r>
        <w:instrText xml:space="preserve"> PAGEREF _Toc44180034 \h </w:instrText>
      </w:r>
      <w:r>
        <w:fldChar w:fldCharType="separate"/>
      </w:r>
      <w:r>
        <w:t>3</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"_Toc44180035"</w:instrText>
      </w:r>
      <w:r>
        <w:rPr>
          <w:rStyle w:val="13"/>
        </w:rPr>
        <w:instrText xml:space="preserve"> </w:instrText>
      </w:r>
      <w:r>
        <w:rPr>
          <w:rStyle w:val="13"/>
        </w:rPr>
        <w:fldChar w:fldCharType="separate"/>
      </w:r>
      <w:r>
        <w:rPr>
          <w:rStyle w:val="13"/>
          <w:rFonts w:ascii="宋体" w:hAnsi="宋体"/>
        </w:rPr>
        <w:t>3.2</w:t>
      </w:r>
      <w:r>
        <w:rPr>
          <w:rFonts w:ascii="等线" w:hAnsi="等线" w:eastAsia="等线" w:cs="Times New Roman"/>
          <w:b w:val="0"/>
          <w:bCs w:val="0"/>
          <w:caps w:val="0"/>
          <w:sz w:val="21"/>
          <w:szCs w:val="22"/>
        </w:rPr>
        <w:tab/>
      </w:r>
      <w:r>
        <w:rPr>
          <w:rStyle w:val="13"/>
          <w:rFonts w:ascii="宋体" w:hAnsi="宋体"/>
        </w:rPr>
        <w:t>技术要求</w:t>
      </w:r>
      <w:r>
        <w:tab/>
      </w:r>
      <w:r>
        <w:fldChar w:fldCharType="begin"/>
      </w:r>
      <w:r>
        <w:instrText xml:space="preserve"> PAGEREF _Toc44180035 \h </w:instrText>
      </w:r>
      <w:r>
        <w:fldChar w:fldCharType="separate"/>
      </w:r>
      <w:r>
        <w:t>3</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"_Toc44180036"</w:instrText>
      </w:r>
      <w:r>
        <w:rPr>
          <w:rStyle w:val="13"/>
        </w:rPr>
        <w:instrText xml:space="preserve"> </w:instrText>
      </w:r>
      <w:r>
        <w:rPr>
          <w:rStyle w:val="13"/>
        </w:rPr>
        <w:fldChar w:fldCharType="separate"/>
      </w:r>
      <w:r>
        <w:rPr>
          <w:rStyle w:val="13"/>
          <w:rFonts w:ascii="宋体" w:hAnsi="宋体"/>
        </w:rPr>
        <w:t>4</w:t>
      </w:r>
      <w:r>
        <w:rPr>
          <w:rFonts w:ascii="等线" w:hAnsi="等线" w:eastAsia="等线" w:cs="Times New Roman"/>
          <w:b w:val="0"/>
          <w:bCs w:val="0"/>
          <w:caps w:val="0"/>
          <w:sz w:val="21"/>
          <w:szCs w:val="22"/>
        </w:rPr>
        <w:tab/>
      </w:r>
      <w:r>
        <w:rPr>
          <w:rStyle w:val="13"/>
          <w:rFonts w:ascii="宋体" w:hAnsi="宋体"/>
        </w:rPr>
        <w:t>供货与服务范围</w:t>
      </w:r>
      <w:r>
        <w:tab/>
      </w:r>
      <w:r>
        <w:fldChar w:fldCharType="begin"/>
      </w:r>
      <w:r>
        <w:instrText xml:space="preserve"> PAGEREF _Toc44180036 \h </w:instrText>
      </w:r>
      <w:r>
        <w:fldChar w:fldCharType="separate"/>
      </w:r>
      <w:r>
        <w:t>4</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"_Toc44180037"</w:instrText>
      </w:r>
      <w:r>
        <w:rPr>
          <w:rStyle w:val="13"/>
        </w:rPr>
        <w:instrText xml:space="preserve"> </w:instrText>
      </w:r>
      <w:r>
        <w:rPr>
          <w:rStyle w:val="13"/>
        </w:rPr>
        <w:fldChar w:fldCharType="separate"/>
      </w:r>
      <w:r>
        <w:rPr>
          <w:rStyle w:val="13"/>
          <w:rFonts w:ascii="宋体" w:hAnsi="宋体"/>
        </w:rPr>
        <w:t>4.1</w:t>
      </w:r>
      <w:r>
        <w:rPr>
          <w:rFonts w:ascii="等线" w:hAnsi="等线" w:eastAsia="等线" w:cs="Times New Roman"/>
          <w:b w:val="0"/>
          <w:bCs w:val="0"/>
          <w:caps w:val="0"/>
          <w:sz w:val="21"/>
          <w:szCs w:val="22"/>
        </w:rPr>
        <w:tab/>
      </w:r>
      <w:r>
        <w:rPr>
          <w:rStyle w:val="13"/>
        </w:rPr>
        <w:t>招标人供货范围</w:t>
      </w:r>
      <w:r>
        <w:tab/>
      </w:r>
      <w:r>
        <w:fldChar w:fldCharType="begin"/>
      </w:r>
      <w:r>
        <w:instrText xml:space="preserve"> PAGEREF _Toc44180037 \h </w:instrText>
      </w:r>
      <w:r>
        <w:fldChar w:fldCharType="separate"/>
      </w:r>
      <w:r>
        <w:t>4</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"_Toc44180038"</w:instrText>
      </w:r>
      <w:r>
        <w:rPr>
          <w:rStyle w:val="13"/>
        </w:rPr>
        <w:instrText xml:space="preserve"> </w:instrText>
      </w:r>
      <w:r>
        <w:rPr>
          <w:rStyle w:val="13"/>
        </w:rPr>
        <w:fldChar w:fldCharType="separate"/>
      </w:r>
      <w:r>
        <w:rPr>
          <w:rStyle w:val="13"/>
          <w:rFonts w:ascii="宋体" w:hAnsi="宋体"/>
        </w:rPr>
        <w:t>4.2</w:t>
      </w:r>
      <w:r>
        <w:rPr>
          <w:rFonts w:ascii="等线" w:hAnsi="等线" w:eastAsia="等线" w:cs="Times New Roman"/>
          <w:b w:val="0"/>
          <w:bCs w:val="0"/>
          <w:caps w:val="0"/>
          <w:sz w:val="21"/>
          <w:szCs w:val="22"/>
        </w:rPr>
        <w:tab/>
      </w:r>
      <w:r>
        <w:rPr>
          <w:rStyle w:val="13"/>
        </w:rPr>
        <w:t>投标人供货范围</w:t>
      </w:r>
      <w:r>
        <w:tab/>
      </w:r>
      <w:r>
        <w:fldChar w:fldCharType="begin"/>
      </w:r>
      <w:r>
        <w:instrText xml:space="preserve"> PAGEREF _Toc44180038 \h </w:instrText>
      </w:r>
      <w:r>
        <w:fldChar w:fldCharType="separate"/>
      </w:r>
      <w:r>
        <w:t>4</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"_Toc44180039"</w:instrText>
      </w:r>
      <w:r>
        <w:rPr>
          <w:rStyle w:val="13"/>
        </w:rPr>
        <w:instrText xml:space="preserve"> </w:instrText>
      </w:r>
      <w:r>
        <w:rPr>
          <w:rStyle w:val="13"/>
        </w:rPr>
        <w:fldChar w:fldCharType="separate"/>
      </w:r>
      <w:r>
        <w:rPr>
          <w:rStyle w:val="13"/>
          <w:rFonts w:ascii="宋体" w:hAnsi="宋体"/>
        </w:rPr>
        <w:t>4.3</w:t>
      </w:r>
      <w:r>
        <w:rPr>
          <w:rFonts w:ascii="等线" w:hAnsi="等线" w:eastAsia="等线" w:cs="Times New Roman"/>
          <w:b w:val="0"/>
          <w:bCs w:val="0"/>
          <w:caps w:val="0"/>
          <w:sz w:val="21"/>
          <w:szCs w:val="22"/>
        </w:rPr>
        <w:tab/>
      </w:r>
      <w:r>
        <w:rPr>
          <w:rStyle w:val="13"/>
        </w:rPr>
        <w:t>投标人供货要求</w:t>
      </w:r>
      <w:r>
        <w:tab/>
      </w:r>
      <w:r>
        <w:fldChar w:fldCharType="begin"/>
      </w:r>
      <w:r>
        <w:instrText xml:space="preserve"> PAGEREF _Toc44180039 \h </w:instrText>
      </w:r>
      <w:r>
        <w:fldChar w:fldCharType="separate"/>
      </w:r>
      <w:r>
        <w:t>4</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"_Toc44180040"</w:instrText>
      </w:r>
      <w:r>
        <w:rPr>
          <w:rStyle w:val="13"/>
        </w:rPr>
        <w:instrText xml:space="preserve"> </w:instrText>
      </w:r>
      <w:r>
        <w:rPr>
          <w:rStyle w:val="13"/>
        </w:rPr>
        <w:fldChar w:fldCharType="separate"/>
      </w:r>
      <w:r>
        <w:rPr>
          <w:rStyle w:val="13"/>
          <w:rFonts w:ascii="宋体" w:hAnsi="宋体"/>
        </w:rPr>
        <w:t>4.4</w:t>
      </w:r>
      <w:r>
        <w:rPr>
          <w:rFonts w:ascii="等线" w:hAnsi="等线" w:eastAsia="等线" w:cs="Times New Roman"/>
          <w:b w:val="0"/>
          <w:bCs w:val="0"/>
          <w:caps w:val="0"/>
          <w:sz w:val="21"/>
          <w:szCs w:val="22"/>
        </w:rPr>
        <w:tab/>
      </w:r>
      <w:r>
        <w:rPr>
          <w:rStyle w:val="13"/>
          <w:rFonts w:ascii="宋体" w:hAnsi="宋体"/>
        </w:rPr>
        <w:t>拒收</w:t>
      </w:r>
      <w:r>
        <w:tab/>
      </w:r>
      <w:r>
        <w:fldChar w:fldCharType="begin"/>
      </w:r>
      <w:r>
        <w:instrText xml:space="preserve"> PAGEREF _Toc44180040 \h </w:instrText>
      </w:r>
      <w:r>
        <w:fldChar w:fldCharType="separate"/>
      </w:r>
      <w:r>
        <w:t>4</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"_Toc44180041"</w:instrText>
      </w:r>
      <w:r>
        <w:rPr>
          <w:rStyle w:val="13"/>
        </w:rPr>
        <w:instrText xml:space="preserve"> </w:instrText>
      </w:r>
      <w:r>
        <w:rPr>
          <w:rStyle w:val="13"/>
        </w:rPr>
        <w:fldChar w:fldCharType="separate"/>
      </w:r>
      <w:r>
        <w:rPr>
          <w:rStyle w:val="13"/>
          <w:rFonts w:ascii="宋体" w:hAnsi="宋体"/>
        </w:rPr>
        <w:t>4.5</w:t>
      </w:r>
      <w:r>
        <w:rPr>
          <w:rFonts w:ascii="等线" w:hAnsi="等线" w:eastAsia="等线" w:cs="Times New Roman"/>
          <w:b w:val="0"/>
          <w:bCs w:val="0"/>
          <w:caps w:val="0"/>
          <w:sz w:val="21"/>
          <w:szCs w:val="22"/>
        </w:rPr>
        <w:tab/>
      </w:r>
      <w:r>
        <w:rPr>
          <w:rStyle w:val="13"/>
        </w:rPr>
        <w:t>招标人服务范围</w:t>
      </w:r>
      <w:r>
        <w:tab/>
      </w:r>
      <w:r>
        <w:fldChar w:fldCharType="begin"/>
      </w:r>
      <w:r>
        <w:instrText xml:space="preserve"> PAGEREF _Toc44180041 \h </w:instrText>
      </w:r>
      <w:r>
        <w:fldChar w:fldCharType="separate"/>
      </w:r>
      <w:r>
        <w:t>4</w:t>
      </w:r>
      <w:r>
        <w:fldChar w:fldCharType="end"/>
      </w:r>
      <w:r>
        <w:rPr>
          <w:rStyle w:val="13"/>
        </w:rPr>
        <w:fldChar w:fldCharType="end"/>
      </w:r>
    </w:p>
    <w:p>
      <w:pPr>
        <w:pStyle w:val="6"/>
        <w:tabs>
          <w:tab w:val="left" w:pos="63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"_Toc44180042"</w:instrText>
      </w:r>
      <w:r>
        <w:rPr>
          <w:rStyle w:val="13"/>
        </w:rPr>
        <w:instrText xml:space="preserve"> </w:instrText>
      </w:r>
      <w:r>
        <w:rPr>
          <w:rStyle w:val="13"/>
        </w:rPr>
        <w:fldChar w:fldCharType="separate"/>
      </w:r>
      <w:r>
        <w:rPr>
          <w:rStyle w:val="13"/>
          <w:rFonts w:ascii="宋体" w:hAnsi="宋体"/>
        </w:rPr>
        <w:t>4.6</w:t>
      </w:r>
      <w:r>
        <w:rPr>
          <w:rFonts w:ascii="等线" w:hAnsi="等线" w:eastAsia="等线" w:cs="Times New Roman"/>
          <w:b w:val="0"/>
          <w:bCs w:val="0"/>
          <w:caps w:val="0"/>
          <w:sz w:val="21"/>
          <w:szCs w:val="22"/>
        </w:rPr>
        <w:tab/>
      </w:r>
      <w:r>
        <w:rPr>
          <w:rStyle w:val="13"/>
        </w:rPr>
        <w:t>投标人服务范围</w:t>
      </w:r>
      <w:r>
        <w:tab/>
      </w:r>
      <w:r>
        <w:fldChar w:fldCharType="begin"/>
      </w:r>
      <w:r>
        <w:instrText xml:space="preserve"> PAGEREF _Toc44180042 \h </w:instrText>
      </w:r>
      <w:r>
        <w:fldChar w:fldCharType="separate"/>
      </w:r>
      <w:r>
        <w:t>4</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"_Toc44180043"</w:instrText>
      </w:r>
      <w:r>
        <w:rPr>
          <w:rStyle w:val="13"/>
        </w:rPr>
        <w:instrText xml:space="preserve"> </w:instrText>
      </w:r>
      <w:r>
        <w:rPr>
          <w:rStyle w:val="13"/>
        </w:rPr>
        <w:fldChar w:fldCharType="separate"/>
      </w:r>
      <w:r>
        <w:rPr>
          <w:rStyle w:val="13"/>
          <w:rFonts w:ascii="宋体" w:hAnsi="宋体"/>
        </w:rPr>
        <w:t>5</w:t>
      </w:r>
      <w:r>
        <w:rPr>
          <w:rFonts w:ascii="等线" w:hAnsi="等线" w:eastAsia="等线" w:cs="Times New Roman"/>
          <w:b w:val="0"/>
          <w:bCs w:val="0"/>
          <w:caps w:val="0"/>
          <w:sz w:val="21"/>
          <w:szCs w:val="22"/>
        </w:rPr>
        <w:tab/>
      </w:r>
      <w:r>
        <w:rPr>
          <w:rStyle w:val="13"/>
          <w:rFonts w:ascii="宋体" w:hAnsi="宋体"/>
        </w:rPr>
        <w:t>交货期与工期要求</w:t>
      </w:r>
      <w:r>
        <w:tab/>
      </w:r>
      <w:r>
        <w:fldChar w:fldCharType="begin"/>
      </w:r>
      <w:r>
        <w:instrText xml:space="preserve"> PAGEREF _Toc44180043 \h </w:instrText>
      </w:r>
      <w:r>
        <w:fldChar w:fldCharType="separate"/>
      </w:r>
      <w:r>
        <w:t>4</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"_Toc44180044"</w:instrText>
      </w:r>
      <w:r>
        <w:rPr>
          <w:rStyle w:val="13"/>
        </w:rPr>
        <w:instrText xml:space="preserve"> </w:instrText>
      </w:r>
      <w:r>
        <w:rPr>
          <w:rStyle w:val="13"/>
        </w:rPr>
        <w:fldChar w:fldCharType="separate"/>
      </w:r>
      <w:r>
        <w:rPr>
          <w:rStyle w:val="13"/>
          <w:rFonts w:ascii="宋体" w:hAnsi="宋体"/>
        </w:rPr>
        <w:t>6</w:t>
      </w:r>
      <w:r>
        <w:rPr>
          <w:rFonts w:ascii="等线" w:hAnsi="等线" w:eastAsia="等线" w:cs="Times New Roman"/>
          <w:b w:val="0"/>
          <w:bCs w:val="0"/>
          <w:caps w:val="0"/>
          <w:sz w:val="21"/>
          <w:szCs w:val="22"/>
        </w:rPr>
        <w:tab/>
      </w:r>
      <w:r>
        <w:rPr>
          <w:rStyle w:val="13"/>
          <w:rFonts w:ascii="宋体" w:hAnsi="宋体"/>
        </w:rPr>
        <w:t>检验和试验</w:t>
      </w:r>
      <w:r>
        <w:tab/>
      </w:r>
      <w:r>
        <w:fldChar w:fldCharType="begin"/>
      </w:r>
      <w:r>
        <w:instrText xml:space="preserve"> PAGEREF _Toc44180044 \h </w:instrText>
      </w:r>
      <w:r>
        <w:fldChar w:fldCharType="separate"/>
      </w:r>
      <w:r>
        <w:t>5</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"_Toc44180045"</w:instrText>
      </w:r>
      <w:r>
        <w:rPr>
          <w:rStyle w:val="13"/>
        </w:rPr>
        <w:instrText xml:space="preserve"> </w:instrText>
      </w:r>
      <w:r>
        <w:rPr>
          <w:rStyle w:val="13"/>
        </w:rPr>
        <w:fldChar w:fldCharType="separate"/>
      </w:r>
      <w:r>
        <w:rPr>
          <w:rStyle w:val="13"/>
          <w:rFonts w:ascii="宋体" w:hAnsi="宋体"/>
        </w:rPr>
        <w:t>7</w:t>
      </w:r>
      <w:r>
        <w:rPr>
          <w:rFonts w:ascii="等线" w:hAnsi="等线" w:eastAsia="等线" w:cs="Times New Roman"/>
          <w:b w:val="0"/>
          <w:bCs w:val="0"/>
          <w:caps w:val="0"/>
          <w:sz w:val="21"/>
          <w:szCs w:val="22"/>
        </w:rPr>
        <w:tab/>
      </w:r>
      <w:r>
        <w:rPr>
          <w:rStyle w:val="13"/>
          <w:rFonts w:ascii="宋体" w:hAnsi="宋体"/>
        </w:rPr>
        <w:t>售后服务</w:t>
      </w:r>
      <w:r>
        <w:tab/>
      </w:r>
      <w:r>
        <w:fldChar w:fldCharType="begin"/>
      </w:r>
      <w:r>
        <w:instrText xml:space="preserve"> PAGEREF _Toc44180045 \h </w:instrText>
      </w:r>
      <w:r>
        <w:fldChar w:fldCharType="separate"/>
      </w:r>
      <w:r>
        <w:t>5</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"_Toc44180046"</w:instrText>
      </w:r>
      <w:r>
        <w:rPr>
          <w:rStyle w:val="13"/>
        </w:rPr>
        <w:instrText xml:space="preserve"> </w:instrText>
      </w:r>
      <w:r>
        <w:rPr>
          <w:rStyle w:val="13"/>
        </w:rPr>
        <w:fldChar w:fldCharType="separate"/>
      </w:r>
      <w:r>
        <w:rPr>
          <w:rStyle w:val="13"/>
          <w:rFonts w:ascii="宋体" w:hAnsi="宋体"/>
        </w:rPr>
        <w:t>8</w:t>
      </w:r>
      <w:r>
        <w:rPr>
          <w:rFonts w:ascii="等线" w:hAnsi="等线" w:eastAsia="等线" w:cs="Times New Roman"/>
          <w:b w:val="0"/>
          <w:bCs w:val="0"/>
          <w:caps w:val="0"/>
          <w:sz w:val="21"/>
          <w:szCs w:val="22"/>
        </w:rPr>
        <w:tab/>
      </w:r>
      <w:r>
        <w:rPr>
          <w:rStyle w:val="13"/>
          <w:rFonts w:ascii="宋体" w:hAnsi="宋体"/>
        </w:rPr>
        <w:t>技术投标文件要求</w:t>
      </w:r>
      <w:r>
        <w:tab/>
      </w:r>
      <w:r>
        <w:fldChar w:fldCharType="begin"/>
      </w:r>
      <w:r>
        <w:instrText xml:space="preserve"> PAGEREF _Toc44180046 \h </w:instrText>
      </w:r>
      <w:r>
        <w:fldChar w:fldCharType="separate"/>
      </w:r>
      <w:r>
        <w:t>5</w:t>
      </w:r>
      <w:r>
        <w:fldChar w:fldCharType="end"/>
      </w:r>
      <w:r>
        <w:rPr>
          <w:rStyle w:val="13"/>
        </w:rPr>
        <w:fldChar w:fldCharType="end"/>
      </w:r>
    </w:p>
    <w:p>
      <w:pPr>
        <w:pStyle w:val="6"/>
        <w:tabs>
          <w:tab w:val="left" w:pos="420"/>
        </w:tabs>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"_Toc44180047"</w:instrText>
      </w:r>
      <w:r>
        <w:rPr>
          <w:rStyle w:val="13"/>
        </w:rPr>
        <w:instrText xml:space="preserve"> </w:instrText>
      </w:r>
      <w:r>
        <w:rPr>
          <w:rStyle w:val="13"/>
        </w:rPr>
        <w:fldChar w:fldCharType="separate"/>
      </w:r>
      <w:r>
        <w:rPr>
          <w:rStyle w:val="13"/>
          <w:rFonts w:ascii="宋体" w:hAnsi="宋体"/>
          <w:lang w:val="zh-CN"/>
        </w:rPr>
        <w:t>9</w:t>
      </w:r>
      <w:r>
        <w:rPr>
          <w:rFonts w:ascii="等线" w:hAnsi="等线" w:eastAsia="等线" w:cs="Times New Roman"/>
          <w:b w:val="0"/>
          <w:bCs w:val="0"/>
          <w:caps w:val="0"/>
          <w:sz w:val="21"/>
          <w:szCs w:val="22"/>
        </w:rPr>
        <w:tab/>
      </w:r>
      <w:r>
        <w:rPr>
          <w:rStyle w:val="13"/>
          <w:rFonts w:ascii="宋体" w:hAnsi="宋体"/>
        </w:rPr>
        <w:t>投标人应提供的项目完工资料</w:t>
      </w:r>
      <w:r>
        <w:tab/>
      </w:r>
      <w:r>
        <w:fldChar w:fldCharType="begin"/>
      </w:r>
      <w:r>
        <w:instrText xml:space="preserve"> PAGEREF _Toc44180047 \h </w:instrText>
      </w:r>
      <w:r>
        <w:fldChar w:fldCharType="separate"/>
      </w:r>
      <w:r>
        <w:t>5</w:t>
      </w:r>
      <w:r>
        <w:fldChar w:fldCharType="end"/>
      </w:r>
      <w:r>
        <w:rPr>
          <w:rStyle w:val="13"/>
        </w:rPr>
        <w:fldChar w:fldCharType="end"/>
      </w:r>
    </w:p>
    <w:p>
      <w:pPr>
        <w:pStyle w:val="6"/>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"_Toc44180048"</w:instrText>
      </w:r>
      <w:r>
        <w:rPr>
          <w:rStyle w:val="13"/>
        </w:rPr>
        <w:instrText xml:space="preserve"> </w:instrText>
      </w:r>
      <w:r>
        <w:rPr>
          <w:rStyle w:val="13"/>
        </w:rPr>
        <w:fldChar w:fldCharType="separate"/>
      </w:r>
      <w:r>
        <w:rPr>
          <w:rStyle w:val="13"/>
        </w:rPr>
        <w:t>附件1 图纸</w:t>
      </w:r>
      <w:r>
        <w:tab/>
      </w:r>
      <w:r>
        <w:fldChar w:fldCharType="begin"/>
      </w:r>
      <w:r>
        <w:instrText xml:space="preserve"> PAGEREF _Toc44180048 \h </w:instrText>
      </w:r>
      <w:r>
        <w:fldChar w:fldCharType="separate"/>
      </w:r>
      <w:r>
        <w:t>6</w:t>
      </w:r>
      <w:r>
        <w:fldChar w:fldCharType="end"/>
      </w:r>
      <w:r>
        <w:rPr>
          <w:rStyle w:val="13"/>
        </w:rPr>
        <w:fldChar w:fldCharType="end"/>
      </w:r>
    </w:p>
    <w:p>
      <w:pPr>
        <w:pStyle w:val="6"/>
        <w:rPr>
          <w:rFonts w:ascii="等线" w:hAnsi="等线" w:eastAsia="等线" w:cs="Times New Roman"/>
          <w:b w:val="0"/>
          <w:bCs w:val="0"/>
          <w:caps w:val="0"/>
          <w:sz w:val="21"/>
          <w:szCs w:val="22"/>
        </w:rPr>
      </w:pPr>
      <w:r>
        <w:rPr>
          <w:rStyle w:val="13"/>
        </w:rPr>
        <w:fldChar w:fldCharType="begin"/>
      </w:r>
      <w:r>
        <w:rPr>
          <w:rStyle w:val="13"/>
        </w:rPr>
        <w:instrText xml:space="preserve"> </w:instrText>
      </w:r>
      <w:r>
        <w:instrText xml:space="preserve">HYPERLINK \l "_Toc44180049"</w:instrText>
      </w:r>
      <w:r>
        <w:rPr>
          <w:rStyle w:val="13"/>
        </w:rPr>
        <w:instrText xml:space="preserve"> </w:instrText>
      </w:r>
      <w:r>
        <w:rPr>
          <w:rStyle w:val="13"/>
        </w:rPr>
        <w:fldChar w:fldCharType="separate"/>
      </w:r>
      <w:r>
        <w:rPr>
          <w:rStyle w:val="13"/>
        </w:rPr>
        <w:t>附件2动员计划</w:t>
      </w:r>
      <w:r>
        <w:tab/>
      </w:r>
      <w:r>
        <w:fldChar w:fldCharType="begin"/>
      </w:r>
      <w:r>
        <w:instrText xml:space="preserve"> PAGEREF _Toc44180049 \h </w:instrText>
      </w:r>
      <w:r>
        <w:fldChar w:fldCharType="separate"/>
      </w:r>
      <w:r>
        <w:t>6</w:t>
      </w:r>
      <w:r>
        <w:fldChar w:fldCharType="end"/>
      </w:r>
      <w:r>
        <w:rPr>
          <w:rStyle w:val="13"/>
        </w:rPr>
        <w:fldChar w:fldCharType="end"/>
      </w:r>
    </w:p>
    <w:p>
      <w:pPr>
        <w:pStyle w:val="6"/>
        <w:rPr>
          <w:rStyle w:val="13"/>
        </w:rPr>
      </w:pPr>
      <w:r>
        <w:rPr>
          <w:rStyle w:val="13"/>
        </w:rPr>
        <w:fldChar w:fldCharType="begin"/>
      </w:r>
      <w:r>
        <w:rPr>
          <w:rStyle w:val="13"/>
        </w:rPr>
        <w:instrText xml:space="preserve"> </w:instrText>
      </w:r>
      <w:r>
        <w:instrText xml:space="preserve">HYPERLINK \l "_Toc44180050"</w:instrText>
      </w:r>
      <w:r>
        <w:rPr>
          <w:rStyle w:val="13"/>
        </w:rPr>
        <w:instrText xml:space="preserve"> </w:instrText>
      </w:r>
      <w:r>
        <w:rPr>
          <w:rStyle w:val="13"/>
        </w:rPr>
        <w:fldChar w:fldCharType="separate"/>
      </w:r>
      <w:r>
        <w:rPr>
          <w:rStyle w:val="13"/>
        </w:rPr>
        <w:t>附件3 技术偏离表</w:t>
      </w:r>
      <w:r>
        <w:tab/>
      </w:r>
      <w:r>
        <w:fldChar w:fldCharType="begin"/>
      </w:r>
      <w:r>
        <w:instrText xml:space="preserve"> PAGEREF _Toc44180050 \h </w:instrText>
      </w:r>
      <w:r>
        <w:fldChar w:fldCharType="separate"/>
      </w:r>
      <w:r>
        <w:t>6</w:t>
      </w:r>
      <w:r>
        <w:fldChar w:fldCharType="end"/>
      </w:r>
      <w:r>
        <w:rPr>
          <w:rStyle w:val="13"/>
        </w:rPr>
        <w:fldChar w:fldCharType="end"/>
      </w:r>
    </w:p>
    <w:p>
      <w:pPr>
        <w:rPr>
          <w:b/>
        </w:rPr>
      </w:pPr>
      <w:r>
        <w:rPr>
          <w:rFonts w:hint="eastAsia"/>
          <w:b/>
        </w:rPr>
        <w:t>附件4拟推荐供应商</w:t>
      </w:r>
      <w:r>
        <w:rPr>
          <w:b/>
        </w:rPr>
        <w:t>…………………………………………………………………………………6</w:t>
      </w:r>
    </w:p>
    <w:p>
      <w:pPr>
        <w:rPr>
          <w:b/>
        </w:rPr>
      </w:pPr>
    </w:p>
    <w:p>
      <w:pPr>
        <w:rPr>
          <w:b/>
        </w:rPr>
      </w:pPr>
    </w:p>
    <w:p/>
    <w:p/>
    <w:p/>
    <w:p/>
    <w:p/>
    <w:p/>
    <w:p/>
    <w:p/>
    <w:p/>
    <w:p/>
    <w:p/>
    <w:p>
      <w:pPr>
        <w:rPr>
          <w:rFonts w:hint="eastAsia"/>
        </w:rPr>
      </w:pPr>
    </w:p>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r>
        <w:rPr>
          <w:rFonts w:ascii="宋体" w:hAnsi="宋体" w:cs="Calibri"/>
          <w:bCs/>
          <w:caps/>
          <w:szCs w:val="24"/>
        </w:rPr>
        <w:fldChar w:fldCharType="end"/>
      </w:r>
      <w:bookmarkStart w:id="0" w:name="_Toc44180031"/>
      <w:bookmarkStart w:id="1" w:name="_Toc38896845"/>
      <w:r>
        <w:rPr>
          <w:rFonts w:hint="eastAsia" w:ascii="宋体" w:hAnsi="宋体"/>
          <w:b/>
          <w:bCs/>
          <w:color w:val="000000"/>
          <w:sz w:val="21"/>
          <w:szCs w:val="21"/>
        </w:rPr>
        <w:t>总则</w:t>
      </w:r>
      <w:bookmarkEnd w:id="0"/>
      <w:bookmarkEnd w:id="1"/>
    </w:p>
    <w:p>
      <w:pPr>
        <w:spacing w:line="360" w:lineRule="auto"/>
        <w:ind w:firstLine="424" w:firstLineChars="202"/>
        <w:rPr>
          <w:rFonts w:hint="eastAsia" w:ascii="宋体" w:hAnsi="宋体" w:eastAsia="宋体"/>
          <w:color w:val="000000"/>
          <w:szCs w:val="21"/>
          <w:lang w:eastAsia="zh-CN"/>
        </w:rPr>
      </w:pPr>
      <w:r>
        <w:rPr>
          <w:rFonts w:ascii="宋体" w:hAnsi="宋体"/>
          <w:color w:val="000000"/>
          <w:szCs w:val="21"/>
        </w:rPr>
        <w:t>本</w:t>
      </w:r>
      <w:r>
        <w:rPr>
          <w:rFonts w:hint="eastAsia" w:ascii="宋体" w:hAnsi="宋体"/>
          <w:color w:val="000000"/>
          <w:szCs w:val="21"/>
        </w:rPr>
        <w:t>技术询价文件仅适用于湖北大峪口化工有限责任公司</w:t>
      </w:r>
      <w:r>
        <w:rPr>
          <w:rFonts w:hint="eastAsia" w:ascii="宋体" w:hAnsi="宋体"/>
          <w:szCs w:val="21"/>
        </w:rPr>
        <w:t>项目的采办</w:t>
      </w:r>
      <w:r>
        <w:rPr>
          <w:rFonts w:ascii="宋体" w:hAnsi="宋体"/>
          <w:szCs w:val="21"/>
        </w:rPr>
        <w:t>。它</w:t>
      </w:r>
      <w:r>
        <w:rPr>
          <w:rFonts w:hint="eastAsia" w:ascii="宋体" w:hAnsi="宋体"/>
          <w:szCs w:val="21"/>
        </w:rPr>
        <w:t>规定</w:t>
      </w:r>
      <w:r>
        <w:rPr>
          <w:rFonts w:ascii="宋体" w:hAnsi="宋体"/>
          <w:szCs w:val="21"/>
        </w:rPr>
        <w:t>了该</w:t>
      </w:r>
      <w:r>
        <w:rPr>
          <w:rFonts w:hint="eastAsia" w:ascii="宋体" w:hAnsi="宋体"/>
          <w:b/>
          <w:bCs/>
          <w:szCs w:val="21"/>
        </w:rPr>
        <w:t>除皮山</w:t>
      </w:r>
      <w:r>
        <w:rPr>
          <w:rFonts w:hint="eastAsia" w:ascii="宋体" w:hAnsi="宋体"/>
          <w:b/>
          <w:bCs/>
          <w:szCs w:val="21"/>
          <w:lang w:val="en-US" w:eastAsia="zh-CN"/>
        </w:rPr>
        <w:t>无害化磷石膏</w:t>
      </w:r>
      <w:r>
        <w:rPr>
          <w:rFonts w:hint="eastAsia" w:ascii="宋体" w:hAnsi="宋体"/>
          <w:b/>
          <w:bCs/>
          <w:szCs w:val="21"/>
        </w:rPr>
        <w:t>矿坑回填项目水土保持工作服务项目</w:t>
      </w:r>
      <w:r>
        <w:rPr>
          <w:rFonts w:hint="eastAsia" w:ascii="宋体" w:hAnsi="宋体"/>
          <w:szCs w:val="21"/>
        </w:rPr>
        <w:t>采办在标准规范与技术要求、供</w:t>
      </w:r>
      <w:r>
        <w:rPr>
          <w:rFonts w:hint="eastAsia" w:ascii="宋体" w:hAnsi="宋体"/>
          <w:color w:val="000000"/>
          <w:szCs w:val="21"/>
        </w:rPr>
        <w:t>货与服务范围、交货期与工期、检验与试验、售后服务、投标</w:t>
      </w:r>
      <w:r>
        <w:rPr>
          <w:rFonts w:ascii="宋体" w:hAnsi="宋体"/>
          <w:color w:val="000000"/>
          <w:szCs w:val="21"/>
        </w:rPr>
        <w:t>技术文件、</w:t>
      </w:r>
      <w:r>
        <w:rPr>
          <w:rFonts w:hint="eastAsia" w:ascii="宋体" w:hAnsi="宋体"/>
          <w:color w:val="000000"/>
          <w:szCs w:val="21"/>
        </w:rPr>
        <w:t>完工资料等方面的具体要求</w:t>
      </w:r>
      <w:r>
        <w:rPr>
          <w:rFonts w:hint="eastAsia" w:ascii="宋体" w:hAnsi="宋体"/>
          <w:color w:val="000000"/>
          <w:szCs w:val="21"/>
          <w:lang w:eastAsia="zh-CN"/>
        </w:rPr>
        <w:t>。</w:t>
      </w:r>
    </w:p>
    <w:p>
      <w:pPr>
        <w:numPr>
          <w:ilvl w:val="0"/>
          <w:numId w:val="2"/>
        </w:numPr>
        <w:spacing w:line="360" w:lineRule="auto"/>
        <w:ind w:left="0" w:firstLine="0"/>
        <w:rPr>
          <w:rFonts w:hint="eastAsia" w:ascii="宋体" w:hAnsi="宋体"/>
          <w:szCs w:val="21"/>
        </w:rPr>
      </w:pPr>
      <w:r>
        <w:rPr>
          <w:rFonts w:ascii="宋体" w:hAnsi="宋体"/>
          <w:szCs w:val="21"/>
        </w:rPr>
        <w:t>本</w:t>
      </w:r>
      <w:r>
        <w:rPr>
          <w:rFonts w:hint="eastAsia" w:ascii="宋体" w:hAnsi="宋体"/>
          <w:szCs w:val="21"/>
        </w:rPr>
        <w:t>技术询价文件</w:t>
      </w:r>
      <w:r>
        <w:rPr>
          <w:rFonts w:ascii="宋体" w:hAnsi="宋体"/>
          <w:szCs w:val="21"/>
        </w:rPr>
        <w:t>提出的是最低限度的技术要求，并未对一切技术细节</w:t>
      </w:r>
      <w:r>
        <w:rPr>
          <w:rFonts w:hint="eastAsia" w:ascii="宋体" w:hAnsi="宋体"/>
          <w:szCs w:val="21"/>
        </w:rPr>
        <w:t>做</w:t>
      </w:r>
      <w:r>
        <w:rPr>
          <w:rFonts w:ascii="宋体" w:hAnsi="宋体"/>
          <w:szCs w:val="21"/>
        </w:rPr>
        <w:t>出规定，也未引述</w:t>
      </w:r>
      <w:r>
        <w:rPr>
          <w:rFonts w:hint="eastAsia" w:ascii="宋体" w:hAnsi="宋体"/>
          <w:szCs w:val="21"/>
        </w:rPr>
        <w:t>全部</w:t>
      </w:r>
      <w:r>
        <w:rPr>
          <w:rFonts w:ascii="宋体" w:hAnsi="宋体"/>
          <w:szCs w:val="21"/>
        </w:rPr>
        <w:t>有关标准规范的条文，</w:t>
      </w:r>
      <w:r>
        <w:rPr>
          <w:rFonts w:hint="eastAsia" w:ascii="宋体" w:hAnsi="宋体"/>
          <w:szCs w:val="21"/>
        </w:rPr>
        <w:t>投标人应按本技术询价文件的要求进行投标，并</w:t>
      </w:r>
      <w:r>
        <w:rPr>
          <w:rFonts w:ascii="宋体" w:hAnsi="宋体"/>
          <w:szCs w:val="21"/>
        </w:rPr>
        <w:t>应提供符合本</w:t>
      </w:r>
      <w:r>
        <w:rPr>
          <w:rFonts w:hint="eastAsia" w:ascii="宋体" w:hAnsi="宋体"/>
          <w:szCs w:val="21"/>
        </w:rPr>
        <w:t>技术询价文件</w:t>
      </w:r>
      <w:r>
        <w:rPr>
          <w:rFonts w:ascii="宋体" w:hAnsi="宋体"/>
          <w:szCs w:val="21"/>
        </w:rPr>
        <w:t>和有关标准规范的优质</w:t>
      </w:r>
      <w:r>
        <w:rPr>
          <w:rFonts w:hint="eastAsia" w:ascii="宋体" w:hAnsi="宋体"/>
          <w:szCs w:val="21"/>
        </w:rPr>
        <w:t>服务及其备件材料。对国家有关安全、环保等强制性标准，投标人必须满足。</w:t>
      </w:r>
    </w:p>
    <w:p>
      <w:pPr>
        <w:numPr>
          <w:ilvl w:val="0"/>
          <w:numId w:val="2"/>
        </w:numPr>
        <w:spacing w:line="360" w:lineRule="auto"/>
        <w:ind w:left="0" w:firstLine="0"/>
        <w:rPr>
          <w:rFonts w:ascii="宋体" w:hAnsi="宋体"/>
          <w:szCs w:val="21"/>
        </w:rPr>
      </w:pPr>
      <w:r>
        <w:rPr>
          <w:rFonts w:hint="eastAsia" w:ascii="宋体" w:hAnsi="宋体"/>
          <w:szCs w:val="21"/>
        </w:rPr>
        <w:t>任何偏差都应取得招标人的书面确认，否则招标人将认为投标人已经认可了本技术询价文件中的所有要求。</w:t>
      </w:r>
      <w:r>
        <w:rPr>
          <w:rFonts w:ascii="宋体" w:hAnsi="宋体"/>
          <w:szCs w:val="21"/>
        </w:rPr>
        <w:t>如果</w:t>
      </w:r>
      <w:r>
        <w:rPr>
          <w:rFonts w:hint="eastAsia" w:ascii="宋体" w:hAnsi="宋体"/>
          <w:szCs w:val="21"/>
        </w:rPr>
        <w:t>投标人</w:t>
      </w:r>
      <w:r>
        <w:rPr>
          <w:rFonts w:ascii="宋体" w:hAnsi="宋体"/>
          <w:szCs w:val="21"/>
        </w:rPr>
        <w:t>没有以书面形式对本</w:t>
      </w:r>
      <w:r>
        <w:rPr>
          <w:rFonts w:hint="eastAsia" w:ascii="宋体" w:hAnsi="宋体"/>
          <w:szCs w:val="21"/>
        </w:rPr>
        <w:t>技术询价文件</w:t>
      </w:r>
      <w:r>
        <w:rPr>
          <w:rFonts w:ascii="宋体" w:hAnsi="宋体"/>
          <w:szCs w:val="21"/>
        </w:rPr>
        <w:t>的条文提出异议，则意味着</w:t>
      </w:r>
      <w:r>
        <w:rPr>
          <w:rFonts w:hint="eastAsia" w:ascii="宋体" w:hAnsi="宋体"/>
          <w:szCs w:val="21"/>
        </w:rPr>
        <w:t>投标人</w:t>
      </w:r>
      <w:r>
        <w:rPr>
          <w:rFonts w:ascii="宋体" w:hAnsi="宋体"/>
          <w:szCs w:val="21"/>
        </w:rPr>
        <w:t>提供的</w:t>
      </w:r>
      <w:r>
        <w:rPr>
          <w:rFonts w:hint="eastAsia" w:ascii="宋体" w:hAnsi="宋体"/>
          <w:szCs w:val="21"/>
        </w:rPr>
        <w:t>服务及备件材料</w:t>
      </w:r>
      <w:r>
        <w:rPr>
          <w:rFonts w:ascii="宋体" w:hAnsi="宋体"/>
          <w:szCs w:val="21"/>
        </w:rPr>
        <w:t>完全符合本</w:t>
      </w:r>
      <w:r>
        <w:rPr>
          <w:rFonts w:hint="eastAsia" w:ascii="宋体" w:hAnsi="宋体"/>
          <w:szCs w:val="21"/>
        </w:rPr>
        <w:t>技术询价文件</w:t>
      </w:r>
      <w:r>
        <w:rPr>
          <w:rFonts w:ascii="宋体" w:hAnsi="宋体"/>
          <w:szCs w:val="21"/>
        </w:rPr>
        <w:t>的</w:t>
      </w:r>
      <w:r>
        <w:rPr>
          <w:rFonts w:hint="eastAsia" w:ascii="宋体" w:hAnsi="宋体"/>
          <w:szCs w:val="21"/>
        </w:rPr>
        <w:t>明确的和潜在</w:t>
      </w:r>
      <w:r>
        <w:rPr>
          <w:rFonts w:ascii="宋体" w:hAnsi="宋体"/>
          <w:szCs w:val="21"/>
        </w:rPr>
        <w:t>要求</w:t>
      </w:r>
      <w:r>
        <w:rPr>
          <w:rFonts w:hint="eastAsia" w:ascii="宋体" w:hAnsi="宋体"/>
          <w:szCs w:val="21"/>
        </w:rPr>
        <w:t>，</w:t>
      </w:r>
      <w:r>
        <w:rPr>
          <w:rFonts w:ascii="宋体" w:hAnsi="宋体"/>
          <w:szCs w:val="21"/>
        </w:rPr>
        <w:t>如有异议应在以“</w:t>
      </w:r>
      <w:r>
        <w:rPr>
          <w:rFonts w:hint="eastAsia" w:ascii="宋体" w:hAnsi="宋体"/>
          <w:szCs w:val="21"/>
        </w:rPr>
        <w:t>技术偏离表</w:t>
      </w:r>
      <w:r>
        <w:rPr>
          <w:rFonts w:ascii="宋体" w:hAnsi="宋体"/>
          <w:szCs w:val="21"/>
        </w:rPr>
        <w:t>”为标题的专门</w:t>
      </w:r>
      <w:r>
        <w:rPr>
          <w:rFonts w:hint="eastAsia" w:ascii="宋体" w:hAnsi="宋体"/>
          <w:szCs w:val="21"/>
        </w:rPr>
        <w:t>文件</w:t>
      </w:r>
      <w:r>
        <w:rPr>
          <w:rFonts w:ascii="宋体" w:hAnsi="宋体"/>
          <w:szCs w:val="21"/>
        </w:rPr>
        <w:t>中加以详细描述。</w:t>
      </w:r>
    </w:p>
    <w:p>
      <w:pPr>
        <w:numPr>
          <w:ilvl w:val="0"/>
          <w:numId w:val="2"/>
        </w:numPr>
        <w:spacing w:line="360" w:lineRule="auto"/>
        <w:ind w:left="0" w:firstLine="0"/>
        <w:rPr>
          <w:rFonts w:ascii="宋体" w:hAnsi="宋体"/>
          <w:szCs w:val="21"/>
        </w:rPr>
      </w:pPr>
      <w:r>
        <w:rPr>
          <w:rFonts w:ascii="宋体" w:hAnsi="宋体"/>
          <w:szCs w:val="21"/>
        </w:rPr>
        <w:t>本</w:t>
      </w:r>
      <w:r>
        <w:rPr>
          <w:rFonts w:hint="eastAsia" w:ascii="宋体" w:hAnsi="宋体"/>
          <w:szCs w:val="21"/>
        </w:rPr>
        <w:t>技术询价文件</w:t>
      </w:r>
      <w:r>
        <w:rPr>
          <w:rFonts w:ascii="宋体" w:hAnsi="宋体"/>
          <w:szCs w:val="21"/>
        </w:rPr>
        <w:t>所使用的标准</w:t>
      </w:r>
      <w:r>
        <w:rPr>
          <w:rFonts w:hint="eastAsia" w:ascii="宋体" w:hAnsi="宋体"/>
          <w:szCs w:val="21"/>
        </w:rPr>
        <w:t xml:space="preserve">规范 </w:t>
      </w:r>
      <w:r>
        <w:rPr>
          <w:rFonts w:ascii="宋体" w:hAnsi="宋体"/>
          <w:szCs w:val="21"/>
        </w:rPr>
        <w:t>如遇与</w:t>
      </w:r>
      <w:r>
        <w:rPr>
          <w:rFonts w:hint="eastAsia" w:ascii="宋体" w:hAnsi="宋体"/>
          <w:szCs w:val="21"/>
        </w:rPr>
        <w:t>投标人</w:t>
      </w:r>
      <w:r>
        <w:rPr>
          <w:rFonts w:ascii="宋体" w:hAnsi="宋体"/>
          <w:szCs w:val="21"/>
        </w:rPr>
        <w:t>所执行的标准发生矛盾时，按较高标准执行。在合同签订后，</w:t>
      </w:r>
      <w:r>
        <w:rPr>
          <w:rFonts w:hint="eastAsia" w:ascii="宋体" w:hAnsi="宋体"/>
          <w:szCs w:val="21"/>
        </w:rPr>
        <w:t>招标人</w:t>
      </w:r>
      <w:r>
        <w:rPr>
          <w:rFonts w:ascii="宋体" w:hAnsi="宋体"/>
          <w:szCs w:val="21"/>
        </w:rPr>
        <w:t>有权提出因标准规范发生变化</w:t>
      </w:r>
      <w:r>
        <w:rPr>
          <w:rFonts w:hint="eastAsia" w:ascii="宋体" w:hAnsi="宋体"/>
          <w:szCs w:val="21"/>
        </w:rPr>
        <w:t>或招标人实际工作需要</w:t>
      </w:r>
      <w:r>
        <w:rPr>
          <w:rFonts w:ascii="宋体" w:hAnsi="宋体"/>
          <w:szCs w:val="21"/>
        </w:rPr>
        <w:t>而产生的修订要求，具体事宜由</w:t>
      </w:r>
      <w:r>
        <w:rPr>
          <w:rFonts w:hint="eastAsia" w:ascii="宋体" w:hAnsi="宋体"/>
          <w:szCs w:val="21"/>
        </w:rPr>
        <w:t>招投标</w:t>
      </w:r>
      <w:r>
        <w:rPr>
          <w:rFonts w:ascii="宋体" w:hAnsi="宋体"/>
          <w:szCs w:val="21"/>
        </w:rPr>
        <w:t>双方协商确定。</w:t>
      </w:r>
    </w:p>
    <w:p>
      <w:pPr>
        <w:numPr>
          <w:ilvl w:val="0"/>
          <w:numId w:val="2"/>
        </w:numPr>
        <w:spacing w:line="360" w:lineRule="auto"/>
        <w:ind w:left="0" w:firstLine="0"/>
        <w:rPr>
          <w:rFonts w:hint="eastAsia" w:ascii="宋体" w:hAnsi="宋体"/>
          <w:szCs w:val="21"/>
        </w:rPr>
      </w:pPr>
      <w:r>
        <w:rPr>
          <w:rFonts w:hint="eastAsia" w:ascii="宋体" w:hAnsi="宋体"/>
          <w:szCs w:val="21"/>
        </w:rPr>
        <w:t>当招标人的有关技术文件发生相互矛盾或抵触时，将按照下列顺序优先执行：标准规范及有关技术文件、详细设计图纸、工程量清单、工程报价单或预算书。</w:t>
      </w:r>
    </w:p>
    <w:p>
      <w:pPr>
        <w:numPr>
          <w:ilvl w:val="0"/>
          <w:numId w:val="2"/>
        </w:numPr>
        <w:spacing w:line="360" w:lineRule="auto"/>
        <w:ind w:left="0" w:firstLine="0"/>
        <w:rPr>
          <w:rFonts w:hint="eastAsia" w:ascii="宋体" w:hAnsi="宋体"/>
          <w:szCs w:val="21"/>
        </w:rPr>
      </w:pPr>
      <w:r>
        <w:rPr>
          <w:rFonts w:hint="eastAsia" w:ascii="宋体" w:hAnsi="宋体"/>
          <w:szCs w:val="21"/>
        </w:rPr>
        <w:t>招标人对投标人技术文件的审核，并不能减轻或取消投标人对所供设备或服务应承担的责任和义务。</w:t>
      </w:r>
    </w:p>
    <w:p>
      <w:pPr>
        <w:numPr>
          <w:ilvl w:val="0"/>
          <w:numId w:val="2"/>
        </w:numPr>
        <w:spacing w:line="360" w:lineRule="auto"/>
        <w:ind w:left="0" w:firstLine="0"/>
        <w:rPr>
          <w:rFonts w:hint="eastAsia" w:ascii="宋体" w:hAnsi="宋体"/>
          <w:szCs w:val="21"/>
        </w:rPr>
      </w:pPr>
      <w:r>
        <w:rPr>
          <w:rFonts w:hint="eastAsia" w:ascii="宋体" w:hAnsi="宋体"/>
          <w:szCs w:val="21"/>
        </w:rPr>
        <w:t>投标人所提供的服务</w:t>
      </w:r>
      <w:r>
        <w:rPr>
          <w:rFonts w:ascii="宋体" w:hAnsi="宋体"/>
          <w:szCs w:val="21"/>
        </w:rPr>
        <w:t>及备件材料</w:t>
      </w:r>
      <w:r>
        <w:rPr>
          <w:rFonts w:hint="eastAsia" w:ascii="宋体" w:hAnsi="宋体"/>
          <w:szCs w:val="21"/>
        </w:rPr>
        <w:t>，必须完全满足招标人技术询价文件及标准规范要求，并对所供服务及</w:t>
      </w:r>
      <w:r>
        <w:rPr>
          <w:rFonts w:ascii="宋体" w:hAnsi="宋体"/>
          <w:szCs w:val="21"/>
        </w:rPr>
        <w:t>备件材料</w:t>
      </w:r>
      <w:r>
        <w:rPr>
          <w:rFonts w:hint="eastAsia" w:ascii="宋体" w:hAnsi="宋体"/>
          <w:szCs w:val="21"/>
        </w:rPr>
        <w:t>的质量负有全部责任。</w:t>
      </w:r>
    </w:p>
    <w:p>
      <w:pPr>
        <w:numPr>
          <w:ilvl w:val="0"/>
          <w:numId w:val="2"/>
        </w:numPr>
        <w:spacing w:line="360" w:lineRule="auto"/>
        <w:ind w:left="0" w:firstLine="0"/>
        <w:rPr>
          <w:rFonts w:ascii="宋体" w:hAnsi="宋体"/>
          <w:szCs w:val="21"/>
        </w:rPr>
      </w:pPr>
      <w:r>
        <w:rPr>
          <w:rFonts w:hint="eastAsia" w:ascii="宋体" w:hAnsi="宋体"/>
          <w:szCs w:val="21"/>
        </w:rPr>
        <w:t>投标文件不满足任何一项本技术询价文件中加注星号（“★”）的技术条款（参数），其投标将被拒绝。</w:t>
      </w:r>
    </w:p>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bookmarkStart w:id="2" w:name="_Toc38896846"/>
      <w:bookmarkStart w:id="3" w:name="_Toc44180032"/>
      <w:r>
        <w:rPr>
          <w:rFonts w:hint="eastAsia" w:ascii="宋体" w:hAnsi="宋体"/>
          <w:b/>
          <w:bCs/>
          <w:color w:val="000000"/>
          <w:sz w:val="21"/>
          <w:szCs w:val="21"/>
        </w:rPr>
        <w:t>项目概况</w:t>
      </w:r>
      <w:bookmarkEnd w:id="2"/>
      <w:bookmarkEnd w:id="3"/>
    </w:p>
    <w:p>
      <w:pPr>
        <w:numPr>
          <w:ilvl w:val="0"/>
          <w:numId w:val="3"/>
        </w:numPr>
        <w:spacing w:line="360" w:lineRule="auto"/>
        <w:rPr>
          <w:rFonts w:hint="eastAsia" w:ascii="宋体" w:hAnsi="宋体"/>
          <w:szCs w:val="21"/>
        </w:rPr>
      </w:pPr>
      <w:r>
        <w:rPr>
          <w:rFonts w:hint="eastAsia" w:ascii="宋体" w:hAnsi="宋体"/>
          <w:szCs w:val="21"/>
        </w:rPr>
        <w:t>项目名称：除皮山</w:t>
      </w:r>
      <w:r>
        <w:rPr>
          <w:rFonts w:hint="eastAsia" w:ascii="宋体" w:hAnsi="宋体"/>
          <w:szCs w:val="21"/>
          <w:lang w:val="en-US" w:eastAsia="zh-CN"/>
        </w:rPr>
        <w:t>无害化磷石膏</w:t>
      </w:r>
      <w:r>
        <w:rPr>
          <w:rFonts w:hint="eastAsia" w:ascii="宋体" w:hAnsi="宋体"/>
          <w:szCs w:val="21"/>
        </w:rPr>
        <w:t>矿坑回填项目水土保持工作服务</w:t>
      </w:r>
    </w:p>
    <w:p>
      <w:pPr>
        <w:numPr>
          <w:ilvl w:val="0"/>
          <w:numId w:val="3"/>
        </w:numPr>
        <w:spacing w:line="360" w:lineRule="auto"/>
        <w:rPr>
          <w:rFonts w:ascii="宋体" w:hAnsi="宋体"/>
          <w:szCs w:val="21"/>
        </w:rPr>
      </w:pPr>
      <w:r>
        <w:rPr>
          <w:rFonts w:hint="eastAsia" w:ascii="宋体" w:hAnsi="宋体"/>
          <w:szCs w:val="21"/>
        </w:rPr>
        <w:t>建设地点：</w:t>
      </w:r>
      <w:r>
        <w:rPr>
          <w:rFonts w:hint="eastAsia" w:ascii="宋体" w:hAnsi="宋体"/>
          <w:szCs w:val="21"/>
          <w:lang w:val="en-US" w:eastAsia="zh-CN"/>
        </w:rPr>
        <w:t>钟祥市胡集镇</w:t>
      </w:r>
    </w:p>
    <w:p>
      <w:pPr>
        <w:numPr>
          <w:ilvl w:val="0"/>
          <w:numId w:val="3"/>
        </w:numPr>
        <w:spacing w:line="360" w:lineRule="auto"/>
        <w:rPr>
          <w:rFonts w:hint="eastAsia" w:ascii="宋体" w:hAnsi="宋体"/>
          <w:szCs w:val="21"/>
        </w:rPr>
      </w:pPr>
      <w:r>
        <w:rPr>
          <w:rFonts w:hint="eastAsia" w:ascii="宋体" w:hAnsi="宋体"/>
          <w:szCs w:val="21"/>
        </w:rPr>
        <w:t>概述：</w:t>
      </w:r>
    </w:p>
    <w:p>
      <w:pPr>
        <w:spacing w:line="360" w:lineRule="auto"/>
        <w:ind w:firstLine="420" w:firstLineChars="200"/>
        <w:rPr>
          <w:rFonts w:hint="eastAsia" w:ascii="宋体" w:hAnsi="宋体"/>
          <w:szCs w:val="21"/>
        </w:rPr>
      </w:pPr>
      <w:r>
        <w:rPr>
          <w:rFonts w:hint="eastAsia" w:ascii="宋体" w:hAnsi="宋体"/>
          <w:szCs w:val="21"/>
        </w:rPr>
        <w:t>无害化磷石膏用于除皮山矿坑回填项目位于钟祥市胡集镇“湖北大峪口化工有限责任公司所辖除皮山露天磷矿场”，由于经多年露天开采，现形成地貌为中间低两边高的“V”字形地貌。本项目采用无害化（固化）后的磷石膏胶凝材料通过充填泵输送至除皮山露天矿坑北侧进行回填利用。</w:t>
      </w:r>
    </w:p>
    <w:p>
      <w:pPr>
        <w:spacing w:line="360" w:lineRule="auto"/>
        <w:ind w:firstLine="420" w:firstLineChars="200"/>
        <w:rPr>
          <w:rFonts w:hint="eastAsia" w:ascii="宋体" w:hAnsi="宋体"/>
          <w:szCs w:val="21"/>
        </w:rPr>
      </w:pPr>
      <w:r>
        <w:rPr>
          <w:rFonts w:hint="eastAsia" w:ascii="宋体" w:hAnsi="宋体"/>
          <w:szCs w:val="21"/>
        </w:rPr>
        <w:t>工程一共分四期，每期均为三年，第一期回填至 166.0m 标高，第二期回填至 202.0m 标高；第三期回填至 238.0m 标高；第四期回填至 250.0m 标高并在回填体封场后回填初期坝南侧调节回水池。第一期消纳干磷石膏量460 万吨，第二三四期每期消纳干磷石膏量 330 万吨。</w:t>
      </w:r>
    </w:p>
    <w:p>
      <w:pPr>
        <w:spacing w:line="360" w:lineRule="auto"/>
        <w:ind w:firstLine="420" w:firstLineChars="200"/>
        <w:rPr>
          <w:rFonts w:hint="eastAsia" w:ascii="宋体" w:hAnsi="宋体"/>
          <w:szCs w:val="21"/>
        </w:rPr>
      </w:pPr>
      <w:r>
        <w:rPr>
          <w:rFonts w:hint="eastAsia" w:ascii="宋体" w:hAnsi="宋体"/>
          <w:szCs w:val="21"/>
        </w:rPr>
        <w:t>第一期分两部分进行，首先使用低强度磷石膏胶凝材料回填初期坝坝顶以下区域，回填标高范围为 95.0m～130m，与初期坝顶齐平后采用模袋围挡法，由高强度磷石膏胶凝材料筑围挡，再在围挡上游回填低强度磷石膏胶凝材料，回填标高范围为130m～166m。</w:t>
      </w:r>
      <w:r>
        <w:rPr>
          <w:rFonts w:hint="eastAsia" w:ascii="宋体" w:hAnsi="宋体"/>
          <w:szCs w:val="21"/>
          <w:lang w:val="en-US" w:eastAsia="zh-CN"/>
        </w:rPr>
        <w:t>四期共</w:t>
      </w:r>
      <w:r>
        <w:rPr>
          <w:rFonts w:hint="eastAsia" w:ascii="宋体" w:hAnsi="宋体"/>
          <w:szCs w:val="21"/>
        </w:rPr>
        <w:t>设计回填利用总量为1450万吨，回填面积约 30.81hm2。</w:t>
      </w:r>
    </w:p>
    <w:p>
      <w:pPr>
        <w:spacing w:line="360" w:lineRule="auto"/>
        <w:ind w:firstLine="420" w:firstLineChars="200"/>
        <w:rPr>
          <w:rFonts w:hint="eastAsia" w:ascii="宋体" w:hAnsi="宋体"/>
          <w:szCs w:val="21"/>
        </w:rPr>
      </w:pPr>
      <w:r>
        <w:rPr>
          <w:rFonts w:hint="eastAsia" w:ascii="宋体" w:hAnsi="宋体"/>
          <w:szCs w:val="21"/>
        </w:rPr>
        <w:t>根据《省生态环境厅办公室关于印发〈湖北省无害化磷石膏露天矿坑回填项目监管工作规范（试行）〉的通知》（鄂环督办〔2025〕145 号）相关规定：无害化磷石膏露天矿坑回填项目责任单位须委托具备相应资质或专业技术能力的第三方机构开展项目科学论证，组织编制项目可行性研究报告（项目建议书）、环境本底调查与环境风险评估报告、环境影响报告书、水土保持方案、地质灾害危险性评估报告、安全风险评估评价报告等技术文件。按照监管要求，由市、县两级生态环境主管部门指导项目责任单位将全套科学论证资料及项目审批（备案）信息录入全省磷石膏信息化管理平台，并由属地生态环境部门开展平台信息审核工作。</w:t>
      </w:r>
    </w:p>
    <w:p>
      <w:pPr>
        <w:spacing w:line="360" w:lineRule="auto"/>
        <w:ind w:firstLine="420" w:firstLineChars="200"/>
        <w:rPr>
          <w:rFonts w:hint="eastAsia" w:ascii="宋体" w:hAnsi="宋体"/>
          <w:szCs w:val="21"/>
        </w:rPr>
      </w:pPr>
      <w:r>
        <w:rPr>
          <w:rFonts w:hint="eastAsia" w:ascii="宋体" w:hAnsi="宋体"/>
          <w:szCs w:val="21"/>
        </w:rPr>
        <w:t>现拟委托具备相应专业技术</w:t>
      </w:r>
      <w:r>
        <w:rPr>
          <w:rFonts w:hint="eastAsia" w:ascii="宋体" w:hAnsi="宋体"/>
          <w:szCs w:val="21"/>
          <w:lang w:val="en-US" w:eastAsia="zh-CN"/>
        </w:rPr>
        <w:t>能力的</w:t>
      </w:r>
      <w:r>
        <w:rPr>
          <w:rFonts w:hint="eastAsia" w:ascii="宋体" w:hAnsi="宋体"/>
          <w:szCs w:val="21"/>
        </w:rPr>
        <w:t>单位编制</w:t>
      </w:r>
      <w:r>
        <w:rPr>
          <w:rFonts w:hint="eastAsia" w:ascii="宋体" w:hAnsi="宋体"/>
          <w:szCs w:val="21"/>
          <w:lang w:val="en-US" w:eastAsia="zh-CN"/>
        </w:rPr>
        <w:t>无害化磷石膏</w:t>
      </w:r>
      <w:r>
        <w:rPr>
          <w:rFonts w:hint="eastAsia" w:ascii="宋体" w:hAnsi="宋体"/>
          <w:szCs w:val="21"/>
        </w:rPr>
        <w:t>矿坑回填项目</w:t>
      </w:r>
      <w:r>
        <w:rPr>
          <w:rFonts w:hint="eastAsia" w:ascii="宋体" w:hAnsi="宋体"/>
          <w:szCs w:val="21"/>
          <w:lang w:val="en-US" w:eastAsia="zh-CN"/>
        </w:rPr>
        <w:t>第一期的水土保持方案并实施水土保持监测</w:t>
      </w:r>
      <w:r>
        <w:rPr>
          <w:rFonts w:hint="eastAsia" w:ascii="宋体" w:hAnsi="宋体"/>
          <w:szCs w:val="21"/>
        </w:rPr>
        <w:t>，</w:t>
      </w:r>
      <w:r>
        <w:rPr>
          <w:rFonts w:hint="eastAsia" w:ascii="宋体" w:hAnsi="宋体"/>
          <w:szCs w:val="21"/>
          <w:lang w:val="en-US" w:eastAsia="zh-CN"/>
        </w:rPr>
        <w:t>工期为3年。</w:t>
      </w:r>
      <w:r>
        <w:rPr>
          <w:rFonts w:hint="eastAsia" w:ascii="宋体" w:hAnsi="宋体"/>
          <w:szCs w:val="21"/>
        </w:rPr>
        <w:t>进一步规范本无害化磷石膏用于矿坑回填项目建设管理，切实筑牢项目安全防线、有效防范各类安全生产风险。</w:t>
      </w:r>
      <w:r>
        <w:rPr>
          <w:rFonts w:hint="eastAsia" w:ascii="宋体" w:hAnsi="宋体"/>
          <w:szCs w:val="21"/>
          <w:lang w:val="en-US" w:eastAsia="zh-CN"/>
        </w:rPr>
        <w:t xml:space="preserve"> </w:t>
      </w:r>
      <w:r>
        <w:rPr>
          <w:rFonts w:hint="eastAsia" w:ascii="宋体" w:hAnsi="宋体" w:eastAsia="宋体" w:cs="宋体"/>
          <w:szCs w:val="21"/>
          <w:lang w:val="en-US" w:eastAsia="zh-CN"/>
        </w:rPr>
        <w:t xml:space="preserve"> </w:t>
      </w:r>
    </w:p>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bookmarkStart w:id="4" w:name="_Toc38896847"/>
      <w:bookmarkStart w:id="5" w:name="_Toc44180033"/>
      <w:r>
        <w:rPr>
          <w:rFonts w:hint="eastAsia" w:ascii="宋体" w:hAnsi="宋体"/>
          <w:b/>
          <w:bCs/>
          <w:color w:val="000000"/>
          <w:sz w:val="21"/>
          <w:szCs w:val="21"/>
        </w:rPr>
        <w:t>标准规范及技术要求</w:t>
      </w:r>
      <w:bookmarkEnd w:id="4"/>
      <w:bookmarkEnd w:id="5"/>
    </w:p>
    <w:p>
      <w:pPr>
        <w:pStyle w:val="14"/>
        <w:numPr>
          <w:ilvl w:val="0"/>
          <w:numId w:val="4"/>
        </w:numPr>
        <w:tabs>
          <w:tab w:val="left" w:pos="426"/>
        </w:tabs>
        <w:suppressAutoHyphens w:val="0"/>
        <w:spacing w:line="360" w:lineRule="auto"/>
        <w:outlineLvl w:val="0"/>
        <w:rPr>
          <w:rFonts w:hint="eastAsia" w:ascii="宋体" w:hAnsi="宋体"/>
          <w:b/>
          <w:bCs/>
          <w:color w:val="000000"/>
          <w:sz w:val="21"/>
          <w:szCs w:val="21"/>
        </w:rPr>
      </w:pPr>
      <w:bookmarkStart w:id="6" w:name="_Toc44180034"/>
      <w:bookmarkStart w:id="7" w:name="_Toc38896848"/>
      <w:r>
        <w:rPr>
          <w:rFonts w:hint="eastAsia" w:ascii="宋体" w:hAnsi="宋体"/>
          <w:b/>
          <w:bCs/>
          <w:color w:val="000000"/>
          <w:sz w:val="21"/>
          <w:szCs w:val="21"/>
        </w:rPr>
        <w:t>标准规范</w:t>
      </w:r>
      <w:bookmarkEnd w:id="6"/>
      <w:bookmarkEnd w:id="7"/>
    </w:p>
    <w:p>
      <w:pPr>
        <w:autoSpaceDE w:val="0"/>
        <w:autoSpaceDN w:val="0"/>
        <w:spacing w:line="360" w:lineRule="auto"/>
        <w:ind w:firstLine="424" w:firstLineChars="202"/>
        <w:rPr>
          <w:rFonts w:hint="eastAsia" w:ascii="宋体" w:hAnsi="宋体" w:eastAsia="宋体"/>
          <w:szCs w:val="21"/>
          <w:lang w:eastAsia="zh-CN"/>
        </w:rPr>
      </w:pPr>
      <w:r>
        <w:rPr>
          <w:rFonts w:hint="eastAsia" w:ascii="宋体" w:hAnsi="宋体"/>
          <w:szCs w:val="21"/>
        </w:rPr>
        <w:t>本项目执行的标准规范，包括但不限于以下标准规范，若以下标准规范与最新的国家、行业的标准规范不一致或相冲突，则应按最新的标准规范执行。</w:t>
      </w:r>
    </w:p>
    <w:p>
      <w:pPr>
        <w:numPr>
          <w:ilvl w:val="0"/>
          <w:numId w:val="5"/>
        </w:numPr>
        <w:autoSpaceDE w:val="0"/>
        <w:autoSpaceDN w:val="0"/>
        <w:spacing w:line="360" w:lineRule="auto"/>
        <w:rPr>
          <w:rFonts w:hint="eastAsia" w:ascii="宋体" w:hAnsi="宋体"/>
          <w:szCs w:val="21"/>
        </w:rPr>
      </w:pPr>
      <w:r>
        <w:rPr>
          <w:rFonts w:hint="eastAsia" w:ascii="宋体" w:hAnsi="宋体"/>
          <w:szCs w:val="21"/>
        </w:rPr>
        <w:t>《生产建设项目水土保持技术标准》（GB50433-2018）；</w:t>
      </w:r>
    </w:p>
    <w:p>
      <w:pPr>
        <w:numPr>
          <w:ilvl w:val="0"/>
          <w:numId w:val="5"/>
        </w:numPr>
        <w:autoSpaceDE w:val="0"/>
        <w:autoSpaceDN w:val="0"/>
        <w:spacing w:line="360" w:lineRule="auto"/>
        <w:rPr>
          <w:rFonts w:hint="eastAsia" w:ascii="宋体" w:hAnsi="宋体"/>
          <w:szCs w:val="21"/>
        </w:rPr>
      </w:pPr>
      <w:r>
        <w:rPr>
          <w:rFonts w:hint="eastAsia" w:ascii="宋体" w:hAnsi="宋体"/>
          <w:szCs w:val="21"/>
        </w:rPr>
        <w:t>《生产建设项目水土流失防治标准》（GB/T50434-2018）；</w:t>
      </w:r>
    </w:p>
    <w:p>
      <w:pPr>
        <w:numPr>
          <w:ilvl w:val="0"/>
          <w:numId w:val="5"/>
        </w:numPr>
        <w:autoSpaceDE w:val="0"/>
        <w:autoSpaceDN w:val="0"/>
        <w:spacing w:line="360" w:lineRule="auto"/>
        <w:rPr>
          <w:rFonts w:hint="eastAsia" w:ascii="宋体" w:hAnsi="宋体"/>
          <w:szCs w:val="21"/>
        </w:rPr>
      </w:pPr>
      <w:r>
        <w:rPr>
          <w:rFonts w:hint="eastAsia" w:ascii="宋体" w:hAnsi="宋体"/>
          <w:szCs w:val="21"/>
        </w:rPr>
        <w:t>《生产建设项目水土保持监测与评价标准》（GB/T51240-2018）；</w:t>
      </w:r>
      <w:bookmarkStart w:id="73" w:name="_GoBack"/>
      <w:bookmarkEnd w:id="73"/>
    </w:p>
    <w:p>
      <w:pPr>
        <w:pStyle w:val="14"/>
        <w:numPr>
          <w:ilvl w:val="0"/>
          <w:numId w:val="4"/>
        </w:numPr>
        <w:tabs>
          <w:tab w:val="left" w:pos="426"/>
        </w:tabs>
        <w:suppressAutoHyphens w:val="0"/>
        <w:spacing w:line="360" w:lineRule="auto"/>
        <w:outlineLvl w:val="0"/>
        <w:rPr>
          <w:rFonts w:hint="eastAsia" w:ascii="宋体" w:hAnsi="宋体"/>
          <w:b/>
          <w:bCs/>
          <w:color w:val="000000"/>
          <w:sz w:val="21"/>
          <w:szCs w:val="21"/>
        </w:rPr>
      </w:pPr>
      <w:bookmarkStart w:id="8" w:name="_Toc44180035"/>
      <w:bookmarkStart w:id="9" w:name="_Toc38896849"/>
      <w:bookmarkStart w:id="10" w:name="OLE_LINK3"/>
      <w:r>
        <w:rPr>
          <w:rFonts w:hint="eastAsia" w:ascii="宋体" w:hAnsi="宋体"/>
          <w:b/>
          <w:bCs/>
          <w:color w:val="000000"/>
          <w:sz w:val="21"/>
          <w:szCs w:val="21"/>
        </w:rPr>
        <w:t>技术要求</w:t>
      </w:r>
      <w:bookmarkEnd w:id="8"/>
      <w:bookmarkEnd w:id="9"/>
    </w:p>
    <w:bookmarkEnd w:id="10"/>
    <w:p>
      <w:pPr>
        <w:spacing w:line="360" w:lineRule="auto"/>
        <w:ind w:firstLine="424" w:firstLineChars="202"/>
        <w:rPr>
          <w:rFonts w:hint="default" w:ascii="宋体" w:hAnsi="宋体"/>
          <w:szCs w:val="21"/>
          <w:lang w:val="en-US"/>
        </w:rPr>
      </w:pPr>
      <w:bookmarkStart w:id="11" w:name="_Toc349220137"/>
      <w:r>
        <w:rPr>
          <w:rFonts w:hint="eastAsia" w:ascii="宋体" w:hAnsi="宋体"/>
          <w:szCs w:val="21"/>
          <w:lang w:val="en-US" w:eastAsia="zh-CN"/>
        </w:rPr>
        <w:t>按照上述相关标准、规程、规范等要求，编制</w:t>
      </w:r>
      <w:r>
        <w:rPr>
          <w:rFonts w:hint="eastAsia" w:ascii="宋体" w:hAnsi="宋体"/>
          <w:color w:val="auto"/>
          <w:szCs w:val="21"/>
        </w:rPr>
        <w:t>除皮山无害化磷石膏矿坑回填项目</w:t>
      </w:r>
      <w:r>
        <w:rPr>
          <w:rFonts w:hint="eastAsia" w:ascii="宋体" w:hAnsi="宋体"/>
          <w:szCs w:val="21"/>
          <w:lang w:val="en-US" w:eastAsia="zh-CN"/>
        </w:rPr>
        <w:t>水土保持方案，并提供施工期水土保持监测服务，协调好行政主管部门对本项目水土保持的监督检查等工作，提供相关后期服务工作。</w:t>
      </w:r>
    </w:p>
    <w:p>
      <w:pPr>
        <w:pStyle w:val="7"/>
        <w:numPr>
          <w:ilvl w:val="2"/>
          <w:numId w:val="6"/>
        </w:numPr>
        <w:rPr>
          <w:rFonts w:hint="eastAsia" w:ascii="宋体" w:hAnsi="宋体" w:eastAsia="宋体" w:cs="Times New Roman"/>
          <w:kern w:val="2"/>
          <w:sz w:val="21"/>
          <w:szCs w:val="21"/>
          <w:lang w:val="en-US" w:eastAsia="zh-CN" w:bidi="ar-SA"/>
        </w:rPr>
      </w:pPr>
      <w:r>
        <w:rPr>
          <w:rFonts w:hint="eastAsia" w:ascii="宋体" w:hAnsi="宋体"/>
          <w:sz w:val="21"/>
          <w:szCs w:val="21"/>
        </w:rPr>
        <w:t>“★”</w:t>
      </w:r>
      <w:r>
        <w:rPr>
          <w:rStyle w:val="15"/>
          <w:rFonts w:hint="default"/>
          <w:sz w:val="21"/>
          <w:szCs w:val="21"/>
        </w:rPr>
        <w:t>资</w:t>
      </w:r>
      <w:r>
        <w:rPr>
          <w:rStyle w:val="15"/>
          <w:rFonts w:hint="eastAsia"/>
          <w:sz w:val="21"/>
          <w:szCs w:val="21"/>
          <w:lang w:val="en-US" w:eastAsia="zh-CN"/>
        </w:rPr>
        <w:t>格</w:t>
      </w:r>
      <w:r>
        <w:rPr>
          <w:rStyle w:val="15"/>
          <w:rFonts w:hint="default"/>
          <w:sz w:val="21"/>
          <w:szCs w:val="21"/>
        </w:rPr>
        <w:t>要求：报价人具有合法有效的企业法人营业执照、税务登记证及组织机构代码证或证照合一的营业执照，报价时需提供原件扫描件（原件备查）。报价人为事业单位的，应具有合法有效的事业单位法人证书，报价时需提供原件扫描件（原件备查）。报价人为分公司的，提供具有合法有效的营业执照和上级法人单位授权书（授权该分公司报价和签订合同），认可该分公司和上级法人单位的资质、资格和业绩，不认可同一上级法人单位的其它分公司的资质、资格和业绩，报价时需提供原件扫描件（原件备查）。分公司与上级法人单位只可一家参与报价，同时参与报价的，报价均无效。</w:t>
      </w:r>
    </w:p>
    <w:p>
      <w:pPr>
        <w:numPr>
          <w:ilvl w:val="0"/>
          <w:numId w:val="0"/>
        </w:numPr>
        <w:spacing w:line="360" w:lineRule="auto"/>
      </w:pPr>
      <w:r>
        <w:rPr>
          <w:rStyle w:val="15"/>
          <w:rFonts w:hint="eastAsia"/>
          <w:sz w:val="21"/>
          <w:szCs w:val="21"/>
          <w:lang w:val="en-US" w:eastAsia="zh-CN"/>
        </w:rPr>
        <w:t xml:space="preserve">3.2.2  </w:t>
      </w:r>
      <w:r>
        <w:rPr>
          <w:rFonts w:hint="eastAsia" w:ascii="宋体" w:hAnsi="宋体"/>
          <w:sz w:val="21"/>
          <w:szCs w:val="21"/>
        </w:rPr>
        <w:t>“★”</w:t>
      </w:r>
      <w:r>
        <w:rPr>
          <w:rFonts w:hint="eastAsia" w:ascii="宋体" w:hAnsi="宋体"/>
          <w:sz w:val="21"/>
          <w:szCs w:val="21"/>
          <w:lang w:val="en-US" w:eastAsia="zh-CN"/>
        </w:rPr>
        <w:t>业绩要求：</w:t>
      </w:r>
      <w:r>
        <w:rPr>
          <w:rStyle w:val="15"/>
          <w:rFonts w:hint="eastAsia"/>
          <w:sz w:val="21"/>
          <w:szCs w:val="21"/>
          <w:lang w:val="en-US" w:eastAsia="zh-CN"/>
        </w:rPr>
        <w:t xml:space="preserve"> </w:t>
      </w:r>
      <w:r>
        <w:rPr>
          <w:rStyle w:val="15"/>
          <w:rFonts w:hint="default"/>
          <w:sz w:val="21"/>
          <w:szCs w:val="21"/>
        </w:rPr>
        <w:t>202</w:t>
      </w:r>
      <w:r>
        <w:rPr>
          <w:rStyle w:val="15"/>
          <w:rFonts w:hint="eastAsia"/>
          <w:sz w:val="21"/>
          <w:szCs w:val="21"/>
          <w:lang w:val="en-US" w:eastAsia="zh-CN"/>
        </w:rPr>
        <w:t>3</w:t>
      </w:r>
      <w:r>
        <w:rPr>
          <w:rStyle w:val="15"/>
          <w:rFonts w:hint="default"/>
          <w:sz w:val="21"/>
          <w:szCs w:val="21"/>
        </w:rPr>
        <w:t>年</w:t>
      </w:r>
      <w:r>
        <w:rPr>
          <w:rStyle w:val="15"/>
          <w:rFonts w:hint="eastAsia" w:eastAsia="宋体"/>
          <w:sz w:val="21"/>
          <w:szCs w:val="21"/>
          <w:lang w:val="en-US" w:eastAsia="zh-CN"/>
        </w:rPr>
        <w:t>1</w:t>
      </w:r>
      <w:r>
        <w:rPr>
          <w:rStyle w:val="15"/>
          <w:rFonts w:hint="default"/>
          <w:sz w:val="21"/>
          <w:szCs w:val="21"/>
        </w:rPr>
        <w:t>月1日</w:t>
      </w:r>
      <w:r>
        <w:rPr>
          <w:rStyle w:val="15"/>
          <w:rFonts w:hint="eastAsia" w:eastAsia="宋体"/>
          <w:sz w:val="21"/>
          <w:szCs w:val="21"/>
          <w:lang w:val="en-US" w:eastAsia="zh-CN"/>
        </w:rPr>
        <w:t>至</w:t>
      </w:r>
      <w:r>
        <w:rPr>
          <w:rStyle w:val="15"/>
          <w:rFonts w:hint="default"/>
          <w:sz w:val="21"/>
          <w:szCs w:val="21"/>
        </w:rPr>
        <w:t>投标截止日（</w:t>
      </w:r>
      <w:r>
        <w:rPr>
          <w:rStyle w:val="15"/>
          <w:rFonts w:hint="default"/>
          <w:sz w:val="21"/>
          <w:szCs w:val="21"/>
          <w:highlight w:val="none"/>
        </w:rPr>
        <w:t>以</w:t>
      </w:r>
      <w:r>
        <w:rPr>
          <w:rStyle w:val="15"/>
          <w:rFonts w:hint="eastAsia" w:eastAsia="宋体"/>
          <w:sz w:val="21"/>
          <w:szCs w:val="21"/>
          <w:highlight w:val="none"/>
          <w:lang w:eastAsia="zh-CN"/>
        </w:rPr>
        <w:t>合同</w:t>
      </w:r>
      <w:r>
        <w:rPr>
          <w:rStyle w:val="15"/>
          <w:rFonts w:hint="eastAsia" w:eastAsia="宋体"/>
          <w:sz w:val="21"/>
          <w:szCs w:val="21"/>
          <w:highlight w:val="none"/>
          <w:lang w:val="en-US" w:eastAsia="zh-CN"/>
        </w:rPr>
        <w:t>签订</w:t>
      </w:r>
      <w:r>
        <w:rPr>
          <w:rStyle w:val="15"/>
          <w:rFonts w:hint="default"/>
          <w:sz w:val="21"/>
          <w:szCs w:val="21"/>
        </w:rPr>
        <w:t>时间为准），投标单位应具有至少</w:t>
      </w:r>
      <w:r>
        <w:rPr>
          <w:rStyle w:val="15"/>
          <w:rFonts w:hint="eastAsia"/>
          <w:sz w:val="21"/>
          <w:szCs w:val="21"/>
          <w:lang w:val="en-US" w:eastAsia="zh-CN"/>
        </w:rPr>
        <w:t>1</w:t>
      </w:r>
      <w:r>
        <w:rPr>
          <w:rStyle w:val="15"/>
          <w:rFonts w:hint="eastAsia" w:eastAsia="宋体"/>
          <w:sz w:val="21"/>
          <w:szCs w:val="21"/>
          <w:lang w:val="en-US" w:eastAsia="zh-CN"/>
        </w:rPr>
        <w:t>个合同的</w:t>
      </w:r>
      <w:r>
        <w:rPr>
          <w:rStyle w:val="15"/>
          <w:rFonts w:hint="default"/>
          <w:sz w:val="21"/>
          <w:szCs w:val="21"/>
        </w:rPr>
        <w:t>已完成并验收合格的</w:t>
      </w:r>
      <w:r>
        <w:rPr>
          <w:rStyle w:val="15"/>
          <w:rFonts w:hint="eastAsia"/>
          <w:sz w:val="21"/>
          <w:szCs w:val="21"/>
          <w:lang w:val="en-US" w:eastAsia="zh-CN"/>
        </w:rPr>
        <w:t>水土保持服务</w:t>
      </w:r>
      <w:r>
        <w:rPr>
          <w:rStyle w:val="15"/>
          <w:rFonts w:hint="default"/>
          <w:sz w:val="21"/>
          <w:szCs w:val="21"/>
        </w:rPr>
        <w:t>业绩，</w:t>
      </w:r>
      <w:r>
        <w:rPr>
          <w:rStyle w:val="15"/>
          <w:rFonts w:hint="eastAsia" w:cs="宋体"/>
          <w:sz w:val="21"/>
          <w:szCs w:val="21"/>
        </w:rPr>
        <w:t>并提交相关业绩证明文件。业绩证明文件包括但不限于；1)合同复印件； 2)</w:t>
      </w:r>
      <w:r>
        <w:rPr>
          <w:rStyle w:val="15"/>
          <w:rFonts w:hint="default" w:cs="宋体"/>
          <w:sz w:val="21"/>
          <w:szCs w:val="21"/>
        </w:rPr>
        <w:t>验收合格证明文件</w:t>
      </w:r>
      <w:r>
        <w:rPr>
          <w:rStyle w:val="15"/>
          <w:rFonts w:hint="eastAsia" w:cs="宋体"/>
          <w:sz w:val="21"/>
          <w:szCs w:val="21"/>
        </w:rPr>
        <w:t>。</w:t>
      </w:r>
      <w:r>
        <w:rPr>
          <w:rStyle w:val="15"/>
          <w:rFonts w:hint="eastAsia" w:eastAsia="宋体" w:cs="宋体"/>
          <w:sz w:val="21"/>
          <w:szCs w:val="21"/>
          <w:lang w:val="en-US" w:eastAsia="zh-CN"/>
        </w:rPr>
        <w:t>投标人所提交的业绩证明文件至少体现以下内容：合同签署时间、合同名称、服务内容及验收材料（包括验收单）。未提交业绩证明文件，或所提交的业绩证明文件无法体现满足上述要求的，均视为无效业绩。</w:t>
      </w:r>
    </w:p>
    <w:p>
      <w:pPr>
        <w:numPr>
          <w:ilvl w:val="0"/>
          <w:numId w:val="0"/>
        </w:numPr>
        <w:spacing w:line="360" w:lineRule="auto"/>
        <w:ind w:leftChars="0"/>
        <w:rPr>
          <w:rStyle w:val="15"/>
          <w:rFonts w:hint="default" w:cs="Times New Roman"/>
          <w:kern w:val="2"/>
          <w:sz w:val="21"/>
          <w:szCs w:val="21"/>
          <w:highlight w:val="none"/>
          <w:lang w:val="en-US" w:eastAsia="zh-CN" w:bidi="ar-SA"/>
        </w:rPr>
      </w:pPr>
      <w:r>
        <w:rPr>
          <w:rStyle w:val="15"/>
          <w:rFonts w:hint="eastAsia"/>
          <w:sz w:val="21"/>
          <w:szCs w:val="21"/>
          <w:lang w:val="en-US" w:eastAsia="zh-CN"/>
        </w:rPr>
        <w:t xml:space="preserve">3.2.3  </w:t>
      </w:r>
      <w:r>
        <w:rPr>
          <w:rStyle w:val="15"/>
          <w:rFonts w:hint="default"/>
          <w:sz w:val="21"/>
          <w:szCs w:val="21"/>
        </w:rPr>
        <w:t>人员要求：</w:t>
      </w:r>
      <w:r>
        <w:rPr>
          <w:rStyle w:val="15"/>
          <w:rFonts w:hint="default" w:cs="Times New Roman"/>
          <w:kern w:val="2"/>
          <w:sz w:val="21"/>
          <w:szCs w:val="21"/>
          <w:highlight w:val="none"/>
          <w:lang w:val="en-US" w:eastAsia="zh-CN" w:bidi="ar-SA"/>
        </w:rPr>
        <w:t xml:space="preserve"> 项目负责人须具有</w:t>
      </w:r>
      <w:r>
        <w:rPr>
          <w:rStyle w:val="15"/>
          <w:rFonts w:hint="eastAsia" w:cs="Times New Roman"/>
          <w:kern w:val="2"/>
          <w:sz w:val="21"/>
          <w:szCs w:val="21"/>
          <w:highlight w:val="none"/>
          <w:lang w:val="en-US" w:eastAsia="zh-CN" w:bidi="ar-SA"/>
        </w:rPr>
        <w:t>：水土保持或水利工程或地质岩土或环境工程等相关专业的</w:t>
      </w:r>
      <w:r>
        <w:rPr>
          <w:rStyle w:val="15"/>
          <w:rFonts w:hint="default" w:cs="Times New Roman"/>
          <w:kern w:val="2"/>
          <w:sz w:val="21"/>
          <w:szCs w:val="21"/>
          <w:highlight w:val="none"/>
          <w:lang w:val="en-US" w:eastAsia="zh-CN" w:bidi="ar-SA"/>
        </w:rPr>
        <w:t>高级工程师职称</w:t>
      </w:r>
      <w:r>
        <w:rPr>
          <w:rStyle w:val="15"/>
          <w:rFonts w:hint="eastAsia" w:cs="Times New Roman"/>
          <w:kern w:val="2"/>
          <w:sz w:val="21"/>
          <w:szCs w:val="21"/>
          <w:highlight w:val="none"/>
          <w:lang w:val="en-US" w:eastAsia="zh-CN" w:bidi="ar-SA"/>
        </w:rPr>
        <w:t>，投标时需提供证书原件扫描件（原件备查）。</w:t>
      </w:r>
    </w:p>
    <w:p>
      <w:pPr>
        <w:numPr>
          <w:ilvl w:val="0"/>
          <w:numId w:val="0"/>
        </w:numPr>
        <w:spacing w:line="360" w:lineRule="auto"/>
        <w:ind w:leftChars="0"/>
        <w:rPr>
          <w:rFonts w:ascii="宋体" w:hAnsi="宋体"/>
          <w:color w:val="000000"/>
          <w:szCs w:val="21"/>
        </w:rPr>
      </w:pPr>
      <w:r>
        <w:rPr>
          <w:rStyle w:val="15"/>
          <w:rFonts w:hint="eastAsia"/>
          <w:sz w:val="21"/>
          <w:szCs w:val="21"/>
          <w:lang w:val="en-US" w:eastAsia="zh-CN"/>
        </w:rPr>
        <w:t xml:space="preserve">3.2.4   </w:t>
      </w:r>
      <w:r>
        <w:rPr>
          <w:rStyle w:val="15"/>
          <w:rFonts w:hint="default"/>
          <w:sz w:val="21"/>
          <w:szCs w:val="21"/>
        </w:rPr>
        <w:t>工机具要求：</w:t>
      </w:r>
      <w:r>
        <w:rPr>
          <w:rFonts w:hint="eastAsia" w:ascii="宋体" w:hAnsi="宋体"/>
          <w:color w:val="000000"/>
          <w:szCs w:val="21"/>
          <w:lang w:val="en-US" w:eastAsia="zh-CN"/>
        </w:rPr>
        <w:t>完成项目所需的设施</w:t>
      </w:r>
      <w:r>
        <w:rPr>
          <w:rFonts w:ascii="宋体" w:hAnsi="宋体"/>
          <w:color w:val="000000"/>
          <w:szCs w:val="21"/>
        </w:rPr>
        <w:t>设备，均由投标人自备。</w:t>
      </w:r>
    </w:p>
    <w:p>
      <w:pPr>
        <w:numPr>
          <w:ilvl w:val="0"/>
          <w:numId w:val="0"/>
        </w:numPr>
        <w:spacing w:line="360" w:lineRule="auto"/>
        <w:ind w:leftChars="0"/>
        <w:rPr>
          <w:rFonts w:hint="eastAsia" w:ascii="宋体" w:hAnsi="宋体"/>
          <w:color w:val="000000"/>
          <w:szCs w:val="21"/>
          <w:lang w:val="en-US" w:eastAsia="zh-CN"/>
        </w:rPr>
      </w:pPr>
      <w:r>
        <w:rPr>
          <w:rFonts w:hint="eastAsia" w:ascii="宋体" w:hAnsi="宋体"/>
          <w:color w:val="000000"/>
          <w:szCs w:val="21"/>
          <w:lang w:val="en-US" w:eastAsia="zh-CN"/>
        </w:rPr>
        <w:t>3.2.5   技术服务要求：</w:t>
      </w:r>
    </w:p>
    <w:p>
      <w:pPr>
        <w:numPr>
          <w:ilvl w:val="0"/>
          <w:numId w:val="0"/>
        </w:numPr>
        <w:spacing w:line="360" w:lineRule="auto"/>
        <w:ind w:firstLine="420" w:firstLineChars="200"/>
        <w:rPr>
          <w:rFonts w:hint="default" w:ascii="宋体" w:hAnsi="宋体"/>
          <w:color w:val="000000"/>
          <w:szCs w:val="21"/>
          <w:lang w:val="en-US" w:eastAsia="zh-CN"/>
        </w:rPr>
      </w:pPr>
      <w:r>
        <w:rPr>
          <w:rFonts w:hint="eastAsia" w:ascii="宋体" w:hAnsi="宋体"/>
          <w:color w:val="000000"/>
          <w:szCs w:val="21"/>
          <w:lang w:val="en-US" w:eastAsia="zh-CN"/>
        </w:rPr>
        <w:t>（1）水土保持方案编制</w:t>
      </w:r>
    </w:p>
    <w:p>
      <w:pPr>
        <w:numPr>
          <w:ilvl w:val="0"/>
          <w:numId w:val="0"/>
        </w:numPr>
        <w:spacing w:line="360" w:lineRule="auto"/>
        <w:ind w:firstLine="420" w:firstLineChars="200"/>
        <w:rPr>
          <w:rFonts w:hint="default"/>
          <w:lang w:val="en-US" w:eastAsia="zh-CN"/>
        </w:rPr>
      </w:pPr>
      <w:r>
        <w:rPr>
          <w:rFonts w:hint="default" w:ascii="宋体" w:hAnsi="宋体" w:eastAsia="宋体" w:cs="Times New Roman"/>
          <w:color w:val="000000"/>
          <w:kern w:val="2"/>
          <w:sz w:val="21"/>
          <w:szCs w:val="21"/>
          <w:lang w:val="en-US" w:eastAsia="zh-CN" w:bidi="ar-SA"/>
        </w:rPr>
        <w:t>水土保持方案编制</w:t>
      </w:r>
      <w:r>
        <w:rPr>
          <w:rFonts w:hint="eastAsia" w:ascii="宋体" w:hAnsi="宋体" w:eastAsia="宋体" w:cs="Times New Roman"/>
          <w:color w:val="000000"/>
          <w:kern w:val="2"/>
          <w:sz w:val="21"/>
          <w:szCs w:val="21"/>
          <w:lang w:val="en-US" w:eastAsia="zh-CN" w:bidi="ar-SA"/>
        </w:rPr>
        <w:t>主要技术要求</w:t>
      </w:r>
      <w:r>
        <w:rPr>
          <w:rFonts w:hint="default" w:ascii="宋体" w:hAnsi="宋体" w:eastAsia="宋体" w:cs="Times New Roman"/>
          <w:color w:val="000000"/>
          <w:kern w:val="2"/>
          <w:sz w:val="21"/>
          <w:szCs w:val="21"/>
          <w:lang w:val="en-US" w:eastAsia="zh-CN" w:bidi="ar-SA"/>
        </w:rPr>
        <w:t>：</w:t>
      </w:r>
      <w:r>
        <w:rPr>
          <w:rFonts w:hint="eastAsia" w:ascii="宋体" w:hAnsi="宋体" w:cs="Times New Roman"/>
          <w:color w:val="000000"/>
          <w:kern w:val="2"/>
          <w:sz w:val="21"/>
          <w:szCs w:val="21"/>
          <w:lang w:val="en-US" w:eastAsia="zh-CN" w:bidi="ar-SA"/>
        </w:rPr>
        <w:t>无害化磷石膏矿坑回填项目</w:t>
      </w:r>
      <w:r>
        <w:rPr>
          <w:rFonts w:hint="default" w:ascii="宋体" w:hAnsi="宋体" w:eastAsia="宋体" w:cs="Times New Roman"/>
          <w:color w:val="000000"/>
          <w:kern w:val="2"/>
          <w:sz w:val="21"/>
          <w:szCs w:val="21"/>
          <w:lang w:val="en-US" w:eastAsia="zh-CN" w:bidi="ar-SA"/>
        </w:rPr>
        <w:t>水土保持方案报告书的方案编制内容主要包括综合说明、方案编制总则、工程概况、项目区概况、主体工程水土保持分析与评价、水土流失防 治责任范围及防治分区、水土流失预测、水土流失防治目标及措施布局、水土 保持监测、投资估算及效益分析、方案实施的保证措施、结论与建议等编制内容。</w:t>
      </w:r>
      <w:r>
        <w:rPr>
          <w:rFonts w:hint="eastAsia" w:ascii="宋体" w:hAnsi="宋体" w:eastAsia="宋体" w:cs="Times New Roman"/>
          <w:color w:val="000000"/>
          <w:kern w:val="2"/>
          <w:sz w:val="21"/>
          <w:szCs w:val="21"/>
          <w:lang w:val="en-US" w:eastAsia="zh-CN" w:bidi="ar-SA"/>
        </w:rPr>
        <w:t>技术服务单位负责本项目水土保持方案的编制工作，并确保通过钟祥市水利和湖泊局组织的专家评审，取得水土保持方案批复文件。</w:t>
      </w:r>
    </w:p>
    <w:p>
      <w:pPr>
        <w:numPr>
          <w:ilvl w:val="-1"/>
          <w:numId w:val="0"/>
        </w:numPr>
        <w:spacing w:line="360" w:lineRule="auto"/>
        <w:ind w:left="0" w:firstLine="420" w:firstLineChars="200"/>
        <w:rPr>
          <w:rFonts w:hint="eastAsia"/>
          <w:lang w:val="en-US" w:eastAsia="zh-CN"/>
        </w:rPr>
      </w:pPr>
      <w:r>
        <w:rPr>
          <w:rFonts w:hint="eastAsia" w:ascii="宋体" w:hAnsi="宋体"/>
          <w:color w:val="000000"/>
          <w:szCs w:val="21"/>
          <w:lang w:val="en-US" w:eastAsia="zh-CN"/>
        </w:rPr>
        <w:t>（2）水土保持监测</w:t>
      </w:r>
    </w:p>
    <w:p>
      <w:pPr>
        <w:numPr>
          <w:ilvl w:val="0"/>
          <w:numId w:val="0"/>
        </w:numPr>
        <w:spacing w:line="360" w:lineRule="auto"/>
        <w:ind w:firstLine="420" w:firstLineChars="200"/>
        <w:rPr>
          <w:rFonts w:hint="default" w:ascii="宋体" w:hAnsi="宋体"/>
          <w:color w:val="000000"/>
          <w:szCs w:val="21"/>
          <w:lang w:val="en-US" w:eastAsia="zh-CN"/>
        </w:rPr>
      </w:pPr>
      <w:r>
        <w:rPr>
          <w:rFonts w:hint="eastAsia" w:ascii="宋体" w:hAnsi="宋体"/>
          <w:color w:val="000000"/>
          <w:szCs w:val="21"/>
          <w:lang w:val="en-US" w:eastAsia="zh-CN"/>
        </w:rPr>
        <w:t>水土保持监测主</w:t>
      </w:r>
      <w:r>
        <w:rPr>
          <w:rFonts w:hint="eastAsia" w:ascii="宋体" w:hAnsi="宋体" w:eastAsia="宋体" w:cs="Times New Roman"/>
          <w:color w:val="000000"/>
          <w:kern w:val="2"/>
          <w:sz w:val="21"/>
          <w:szCs w:val="21"/>
          <w:lang w:val="en-US" w:eastAsia="zh-CN" w:bidi="ar-SA"/>
        </w:rPr>
        <w:t>要技术要求</w:t>
      </w:r>
      <w:r>
        <w:rPr>
          <w:rFonts w:hint="eastAsia" w:ascii="宋体" w:hAnsi="宋体"/>
          <w:color w:val="000000"/>
          <w:szCs w:val="21"/>
          <w:lang w:val="en-US" w:eastAsia="zh-CN"/>
        </w:rPr>
        <w:t>：根据《水利部关于进一步深化“放管服” 改革全面加强水土保持监管的意见》（水保[2019]160 号）中要求，实行水土保持监测“绿黄红”三色评价，水土保持监测单位根据监测情况，在监测季报和总结报告等监测成果中提出“绿黄红”三色评价结论。在施工期间，对项目实施水土保持监测，每季度提交监测季报，并报钟祥市水利和湖泊局备案；项目监测期结束后，提交项目水土保持监测总监报告，并报钟祥市水利和湖泊局备案。在实施水土保持监测期间，对本项目水土保持工作提供技术服务。</w:t>
      </w:r>
    </w:p>
    <w:p>
      <w:pPr>
        <w:numPr>
          <w:ilvl w:val="0"/>
          <w:numId w:val="0"/>
        </w:numPr>
        <w:spacing w:line="360" w:lineRule="auto"/>
        <w:ind w:firstLine="420" w:firstLineChars="200"/>
        <w:rPr>
          <w:rFonts w:hint="default" w:ascii="宋体" w:hAnsi="宋体" w:eastAsia="宋体" w:cs="Times New Roman"/>
          <w:kern w:val="2"/>
          <w:sz w:val="21"/>
          <w:szCs w:val="21"/>
          <w:lang w:val="en-US" w:eastAsia="zh-CN" w:bidi="ar-SA"/>
        </w:rPr>
      </w:pPr>
      <w:r>
        <w:rPr>
          <w:rFonts w:hint="eastAsia" w:ascii="宋体" w:hAnsi="宋体"/>
          <w:color w:val="000000"/>
          <w:szCs w:val="21"/>
          <w:lang w:val="en-US" w:eastAsia="zh-CN"/>
        </w:rPr>
        <w:t xml:space="preserve">                                             </w:t>
      </w:r>
    </w:p>
    <w:bookmarkEnd w:id="11"/>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bookmarkStart w:id="12" w:name="_Toc349220119"/>
      <w:bookmarkStart w:id="13" w:name="_Toc38896850"/>
      <w:bookmarkStart w:id="14" w:name="_Toc44180036"/>
      <w:r>
        <w:rPr>
          <w:rFonts w:hint="eastAsia" w:ascii="宋体" w:hAnsi="宋体"/>
          <w:b/>
          <w:bCs/>
          <w:color w:val="000000"/>
          <w:sz w:val="21"/>
          <w:szCs w:val="21"/>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297180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pt;margin-top:23.4pt;height:0pt;width:0.05pt;z-index:251659264;mso-width-relative:page;mso-height-relative:page;" filled="f" stroked="t" coordsize="21600,21600" o:gfxdata="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FHAnnVAAAACQEAAA8AAAAAAAAAAQAgAAAAIgAAAGRycy9kb3ducmV2LnhtbFBLAQIUABQAAAAI&#10;AIdO4kB4327X8AEAAOADAAAOAAAAAAAAAAEAIAAAACQBAABkcnMvZTJvRG9jLnhtbFBLBQYAAAAA&#10;BgAGAFkBAACGBQAAAAA=&#10;">
                <v:fill on="f" focussize="0,0"/>
                <v:stroke color="#000000" joinstyle="round"/>
                <v:imagedata o:title=""/>
                <o:lock v:ext="edit" aspectratio="f"/>
              </v:line>
            </w:pict>
          </mc:Fallback>
        </mc:AlternateContent>
      </w:r>
      <w:bookmarkEnd w:id="12"/>
      <w:r>
        <w:rPr>
          <w:rFonts w:hint="eastAsia" w:ascii="宋体" w:hAnsi="宋体"/>
          <w:b/>
          <w:bCs/>
          <w:color w:val="000000"/>
          <w:sz w:val="21"/>
          <w:szCs w:val="21"/>
        </w:rPr>
        <w:t>供货与服务范围</w:t>
      </w:r>
      <w:bookmarkEnd w:id="13"/>
      <w:bookmarkEnd w:id="14"/>
    </w:p>
    <w:p>
      <w:pPr>
        <w:pStyle w:val="14"/>
        <w:numPr>
          <w:ilvl w:val="0"/>
          <w:numId w:val="7"/>
        </w:numPr>
        <w:tabs>
          <w:tab w:val="left" w:pos="426"/>
          <w:tab w:val="right" w:pos="9356"/>
          <w:tab w:val="clear" w:pos="9360"/>
        </w:tabs>
        <w:suppressAutoHyphens w:val="0"/>
        <w:spacing w:line="360" w:lineRule="auto"/>
        <w:outlineLvl w:val="0"/>
        <w:rPr>
          <w:rFonts w:hint="eastAsia" w:ascii="宋体" w:hAnsi="宋体"/>
          <w:b/>
          <w:bCs/>
          <w:color w:val="000000"/>
          <w:sz w:val="21"/>
          <w:szCs w:val="21"/>
        </w:rPr>
      </w:pPr>
      <w:bookmarkStart w:id="15" w:name="_Toc38896851"/>
      <w:bookmarkStart w:id="16" w:name="_Toc44180037"/>
      <w:bookmarkStart w:id="17" w:name="_Toc350156118"/>
      <w:r>
        <w:rPr>
          <w:rFonts w:hint="eastAsia"/>
          <w:b/>
          <w:sz w:val="21"/>
          <w:szCs w:val="21"/>
        </w:rPr>
        <w:t>招标人供货范围</w:t>
      </w:r>
      <w:bookmarkEnd w:id="15"/>
      <w:bookmarkEnd w:id="16"/>
    </w:p>
    <w:p>
      <w:pPr>
        <w:spacing w:line="360" w:lineRule="auto"/>
        <w:ind w:firstLine="424" w:firstLineChars="202"/>
        <w:rPr>
          <w:rFonts w:hint="eastAsia"/>
          <w:szCs w:val="21"/>
        </w:rPr>
      </w:pPr>
      <w:r>
        <w:rPr>
          <w:rFonts w:hint="eastAsia"/>
          <w:szCs w:val="21"/>
        </w:rPr>
        <w:t>不适用</w:t>
      </w:r>
      <w:r>
        <w:rPr>
          <w:szCs w:val="21"/>
        </w:rPr>
        <w:t>。</w:t>
      </w:r>
    </w:p>
    <w:p>
      <w:pPr>
        <w:pStyle w:val="14"/>
        <w:numPr>
          <w:ilvl w:val="0"/>
          <w:numId w:val="7"/>
        </w:numPr>
        <w:tabs>
          <w:tab w:val="left" w:pos="426"/>
        </w:tabs>
        <w:suppressAutoHyphens w:val="0"/>
        <w:spacing w:line="360" w:lineRule="auto"/>
        <w:outlineLvl w:val="0"/>
        <w:rPr>
          <w:rFonts w:hint="eastAsia" w:ascii="Times New Roman" w:hAnsi="Times New Roman"/>
          <w:b/>
          <w:sz w:val="21"/>
          <w:szCs w:val="21"/>
        </w:rPr>
      </w:pPr>
      <w:bookmarkStart w:id="18" w:name="_Toc44180038"/>
      <w:bookmarkStart w:id="19" w:name="_Toc38896852"/>
      <w:r>
        <w:rPr>
          <w:rFonts w:hint="eastAsia"/>
          <w:b/>
          <w:sz w:val="21"/>
          <w:szCs w:val="21"/>
        </w:rPr>
        <w:t>投标人供货范围</w:t>
      </w:r>
      <w:bookmarkEnd w:id="18"/>
      <w:bookmarkEnd w:id="19"/>
    </w:p>
    <w:p>
      <w:pPr>
        <w:spacing w:line="360" w:lineRule="auto"/>
        <w:ind w:firstLine="424" w:firstLineChars="202"/>
        <w:rPr>
          <w:szCs w:val="21"/>
        </w:rPr>
      </w:pPr>
      <w:r>
        <w:rPr>
          <w:rFonts w:hint="eastAsia"/>
          <w:szCs w:val="21"/>
        </w:rPr>
        <w:t>不适用</w:t>
      </w:r>
      <w:r>
        <w:rPr>
          <w:szCs w:val="21"/>
        </w:rPr>
        <w:t>。</w:t>
      </w:r>
    </w:p>
    <w:p>
      <w:pPr>
        <w:pStyle w:val="14"/>
        <w:numPr>
          <w:ilvl w:val="0"/>
          <w:numId w:val="7"/>
        </w:numPr>
        <w:tabs>
          <w:tab w:val="left" w:pos="426"/>
        </w:tabs>
        <w:suppressAutoHyphens w:val="0"/>
        <w:spacing w:line="360" w:lineRule="auto"/>
        <w:outlineLvl w:val="0"/>
        <w:rPr>
          <w:rFonts w:hint="eastAsia"/>
          <w:sz w:val="21"/>
          <w:szCs w:val="21"/>
        </w:rPr>
      </w:pPr>
      <w:bookmarkStart w:id="20" w:name="_Toc44180039"/>
      <w:bookmarkStart w:id="21" w:name="_Toc38896853"/>
      <w:r>
        <w:rPr>
          <w:rFonts w:hint="eastAsia"/>
          <w:b/>
          <w:sz w:val="21"/>
          <w:szCs w:val="21"/>
        </w:rPr>
        <w:t>投标人供货要求</w:t>
      </w:r>
      <w:bookmarkEnd w:id="20"/>
      <w:bookmarkEnd w:id="21"/>
    </w:p>
    <w:p>
      <w:pPr>
        <w:spacing w:line="360" w:lineRule="auto"/>
        <w:ind w:firstLine="424" w:firstLineChars="202"/>
        <w:rPr>
          <w:szCs w:val="21"/>
        </w:rPr>
      </w:pPr>
      <w:r>
        <w:rPr>
          <w:rFonts w:hint="eastAsia"/>
          <w:szCs w:val="21"/>
        </w:rPr>
        <w:t>不适用</w:t>
      </w:r>
      <w:r>
        <w:rPr>
          <w:szCs w:val="21"/>
        </w:rPr>
        <w:t>。</w:t>
      </w:r>
    </w:p>
    <w:p>
      <w:pPr>
        <w:pStyle w:val="14"/>
        <w:numPr>
          <w:ilvl w:val="0"/>
          <w:numId w:val="7"/>
        </w:numPr>
        <w:tabs>
          <w:tab w:val="left" w:pos="426"/>
        </w:tabs>
        <w:suppressAutoHyphens w:val="0"/>
        <w:spacing w:line="360" w:lineRule="auto"/>
        <w:outlineLvl w:val="0"/>
        <w:rPr>
          <w:rFonts w:hint="eastAsia" w:ascii="宋体" w:hAnsi="宋体"/>
          <w:b/>
          <w:bCs/>
          <w:color w:val="000000"/>
          <w:sz w:val="21"/>
          <w:szCs w:val="21"/>
        </w:rPr>
      </w:pPr>
      <w:bookmarkStart w:id="22" w:name="_Toc44180040"/>
      <w:bookmarkStart w:id="23" w:name="_Toc38896854"/>
      <w:r>
        <w:rPr>
          <w:rFonts w:hint="eastAsia" w:ascii="宋体" w:hAnsi="宋体"/>
          <w:b/>
          <w:bCs/>
          <w:color w:val="000000"/>
          <w:sz w:val="21"/>
          <w:szCs w:val="21"/>
        </w:rPr>
        <w:t>拒收</w:t>
      </w:r>
      <w:bookmarkEnd w:id="22"/>
      <w:bookmarkEnd w:id="23"/>
    </w:p>
    <w:p>
      <w:pPr>
        <w:spacing w:line="360" w:lineRule="auto"/>
        <w:ind w:left="420"/>
        <w:rPr>
          <w:rFonts w:hint="eastAsia"/>
          <w:szCs w:val="21"/>
        </w:rPr>
      </w:pPr>
      <w:r>
        <w:rPr>
          <w:rFonts w:hint="eastAsia"/>
          <w:szCs w:val="21"/>
        </w:rPr>
        <w:t>不适用</w:t>
      </w:r>
      <w:r>
        <w:rPr>
          <w:szCs w:val="21"/>
        </w:rPr>
        <w:t>。</w:t>
      </w:r>
    </w:p>
    <w:bookmarkEnd w:id="17"/>
    <w:p>
      <w:pPr>
        <w:pStyle w:val="14"/>
        <w:numPr>
          <w:ilvl w:val="0"/>
          <w:numId w:val="7"/>
        </w:numPr>
        <w:tabs>
          <w:tab w:val="left" w:pos="426"/>
        </w:tabs>
        <w:suppressAutoHyphens w:val="0"/>
        <w:spacing w:line="360" w:lineRule="auto"/>
        <w:outlineLvl w:val="0"/>
        <w:rPr>
          <w:rFonts w:hint="eastAsia" w:ascii="宋体" w:hAnsi="宋体"/>
          <w:b/>
          <w:bCs/>
          <w:color w:val="000000"/>
          <w:sz w:val="21"/>
          <w:szCs w:val="21"/>
        </w:rPr>
      </w:pPr>
      <w:bookmarkStart w:id="24" w:name="_Toc38896855"/>
      <w:bookmarkStart w:id="25" w:name="_Toc44180041"/>
      <w:bookmarkStart w:id="26" w:name="_Toc349220121"/>
      <w:r>
        <w:rPr>
          <w:rFonts w:hint="eastAsia"/>
          <w:b/>
          <w:sz w:val="21"/>
          <w:szCs w:val="21"/>
        </w:rPr>
        <w:t>招标人服务范围</w:t>
      </w:r>
      <w:bookmarkEnd w:id="24"/>
      <w:bookmarkEnd w:id="25"/>
    </w:p>
    <w:p>
      <w:pPr>
        <w:numPr>
          <w:ilvl w:val="0"/>
          <w:numId w:val="8"/>
        </w:numPr>
        <w:spacing w:line="360" w:lineRule="auto"/>
        <w:rPr>
          <w:rFonts w:hint="eastAsia"/>
          <w:szCs w:val="21"/>
        </w:rPr>
      </w:pPr>
      <w:r>
        <w:rPr>
          <w:rFonts w:hint="eastAsia"/>
          <w:szCs w:val="21"/>
          <w:lang w:val="en-US" w:eastAsia="zh-CN"/>
        </w:rPr>
        <w:t>提供</w:t>
      </w:r>
      <w:r>
        <w:rPr>
          <w:rFonts w:hint="eastAsia" w:ascii="宋体" w:hAnsi="宋体"/>
          <w:szCs w:val="21"/>
        </w:rPr>
        <w:t>除皮山</w:t>
      </w:r>
      <w:r>
        <w:rPr>
          <w:rFonts w:hint="eastAsia" w:ascii="宋体" w:hAnsi="宋体"/>
          <w:szCs w:val="21"/>
          <w:lang w:val="en-US" w:eastAsia="zh-CN"/>
        </w:rPr>
        <w:t>无害化磷石膏</w:t>
      </w:r>
      <w:r>
        <w:rPr>
          <w:rFonts w:hint="eastAsia" w:ascii="宋体" w:hAnsi="宋体"/>
          <w:szCs w:val="21"/>
        </w:rPr>
        <w:t>矿坑回填项目</w:t>
      </w:r>
      <w:r>
        <w:rPr>
          <w:rFonts w:hint="eastAsia"/>
          <w:szCs w:val="21"/>
          <w:lang w:val="en-US" w:eastAsia="zh-CN"/>
        </w:rPr>
        <w:t>的相关资料</w:t>
      </w:r>
      <w:r>
        <w:rPr>
          <w:rFonts w:hint="eastAsia"/>
          <w:szCs w:val="21"/>
        </w:rPr>
        <w:t>。</w:t>
      </w:r>
    </w:p>
    <w:p>
      <w:pPr>
        <w:numPr>
          <w:ilvl w:val="0"/>
          <w:numId w:val="8"/>
        </w:numPr>
        <w:spacing w:line="360" w:lineRule="auto"/>
        <w:rPr>
          <w:rFonts w:hint="eastAsia"/>
          <w:szCs w:val="21"/>
        </w:rPr>
      </w:pPr>
      <w:r>
        <w:rPr>
          <w:rFonts w:hint="eastAsia"/>
        </w:rPr>
        <w:t>协助</w:t>
      </w:r>
      <w:r>
        <w:rPr>
          <w:rFonts w:hint="eastAsia"/>
          <w:lang w:val="en-US" w:eastAsia="zh-CN"/>
        </w:rPr>
        <w:t>技术服务单位做好施工期的水土保持管理等工作，协调各参建单位完成项目水土保持的各项工作，确保顺利通过验收</w:t>
      </w:r>
      <w:r>
        <w:rPr>
          <w:rFonts w:hint="eastAsia"/>
        </w:rPr>
        <w:t>。</w:t>
      </w:r>
    </w:p>
    <w:p>
      <w:pPr>
        <w:pStyle w:val="14"/>
        <w:numPr>
          <w:ilvl w:val="0"/>
          <w:numId w:val="7"/>
        </w:numPr>
        <w:tabs>
          <w:tab w:val="left" w:pos="426"/>
        </w:tabs>
        <w:suppressAutoHyphens w:val="0"/>
        <w:spacing w:line="360" w:lineRule="auto"/>
        <w:outlineLvl w:val="0"/>
        <w:rPr>
          <w:rFonts w:hint="eastAsia" w:ascii="宋体" w:hAnsi="宋体"/>
          <w:b/>
          <w:bCs/>
          <w:color w:val="000000"/>
          <w:sz w:val="21"/>
          <w:szCs w:val="21"/>
        </w:rPr>
      </w:pPr>
      <w:bookmarkStart w:id="27" w:name="_Toc44180042"/>
      <w:bookmarkStart w:id="28" w:name="_Toc38896856"/>
      <w:r>
        <w:rPr>
          <w:rFonts w:hint="eastAsia"/>
          <w:b/>
          <w:sz w:val="21"/>
          <w:szCs w:val="21"/>
        </w:rPr>
        <w:t>投标人服务范围</w:t>
      </w:r>
      <w:bookmarkEnd w:id="27"/>
      <w:bookmarkEnd w:id="28"/>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Cs w:val="21"/>
          <w:lang w:val="en-US" w:eastAsia="zh-CN"/>
        </w:rPr>
      </w:pPr>
      <w:r>
        <w:rPr>
          <w:rFonts w:hint="eastAsia" w:ascii="宋体" w:hAnsi="宋体"/>
          <w:szCs w:val="21"/>
          <w:lang w:val="en-US" w:eastAsia="zh-CN"/>
        </w:rPr>
        <w:t xml:space="preserve">4.6.1 </w:t>
      </w:r>
      <w:r>
        <w:rPr>
          <w:rFonts w:hint="eastAsia" w:ascii="宋体" w:hAnsi="宋体"/>
          <w:szCs w:val="21"/>
        </w:rPr>
        <w:t>除皮山</w:t>
      </w:r>
      <w:r>
        <w:rPr>
          <w:rFonts w:hint="eastAsia" w:ascii="宋体" w:hAnsi="宋体"/>
          <w:szCs w:val="21"/>
          <w:lang w:val="en-US" w:eastAsia="zh-CN"/>
        </w:rPr>
        <w:t>无害化磷石膏</w:t>
      </w:r>
      <w:r>
        <w:rPr>
          <w:rFonts w:hint="eastAsia" w:ascii="宋体" w:hAnsi="宋体"/>
          <w:szCs w:val="21"/>
        </w:rPr>
        <w:t>矿坑回填项目</w:t>
      </w:r>
      <w:r>
        <w:rPr>
          <w:rFonts w:hint="eastAsia" w:ascii="宋体" w:hAnsi="宋体"/>
          <w:szCs w:val="21"/>
          <w:lang w:val="en-US" w:eastAsia="zh-CN"/>
        </w:rPr>
        <w:t>水土保持方案编制、施工期水土保持监测</w:t>
      </w:r>
      <w:bookmarkEnd w:id="26"/>
      <w:bookmarkStart w:id="29" w:name="_Toc38896857"/>
      <w:bookmarkStart w:id="30" w:name="_Toc44180043"/>
      <w:r>
        <w:rPr>
          <w:rFonts w:hint="eastAsia" w:ascii="宋体" w:hAnsi="宋体"/>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rPr>
      </w:pPr>
      <w:r>
        <w:rPr>
          <w:rFonts w:hint="eastAsia" w:ascii="宋体" w:hAnsi="宋体"/>
          <w:sz w:val="21"/>
          <w:szCs w:val="21"/>
          <w:lang w:val="en-US" w:eastAsia="zh-CN"/>
        </w:rPr>
        <w:t>4.6.2 通过钟祥市水利和湖泊局组织的专家评审，取得水土保持方案批复文件。专家评审等相       关费用由投标人承担。</w:t>
      </w:r>
    </w:p>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r>
        <w:rPr>
          <w:rFonts w:hint="eastAsia" w:ascii="宋体" w:hAnsi="宋体"/>
          <w:b/>
          <w:bCs/>
          <w:color w:val="000000"/>
          <w:sz w:val="21"/>
          <w:szCs w:val="21"/>
        </w:rPr>
        <w:t>交货期与工期要求</w:t>
      </w:r>
      <w:bookmarkEnd w:id="29"/>
      <w:bookmarkEnd w:id="30"/>
    </w:p>
    <w:p>
      <w:pPr>
        <w:spacing w:line="360" w:lineRule="auto"/>
        <w:ind w:firstLine="420" w:firstLineChars="200"/>
        <w:rPr>
          <w:rFonts w:hint="default" w:eastAsia="宋体"/>
          <w:lang w:val="en-US" w:eastAsia="zh-CN"/>
        </w:rPr>
      </w:pPr>
      <w:bookmarkStart w:id="31" w:name="_Toc44180044"/>
      <w:bookmarkStart w:id="32" w:name="_Toc38896858"/>
      <w:r>
        <w:rPr>
          <w:rFonts w:hint="eastAsia" w:ascii="宋体" w:hAnsi="宋体"/>
          <w:szCs w:val="21"/>
          <w:lang w:val="en-US" w:eastAsia="zh-CN"/>
        </w:rPr>
        <w:t>水土保持方案应在合同签订并取得项目基础资料后30日历天内完成初稿，专家评审后10日历天完成终稿。最终应取得水土保持方案批复文件</w:t>
      </w:r>
      <w:r>
        <w:rPr>
          <w:rFonts w:hint="eastAsia" w:ascii="宋体" w:hAnsi="宋体"/>
          <w:szCs w:val="21"/>
          <w:lang w:val="zh-CN"/>
        </w:rPr>
        <w:t>。</w:t>
      </w:r>
      <w:r>
        <w:rPr>
          <w:rFonts w:hint="eastAsia" w:ascii="宋体" w:hAnsi="宋体"/>
          <w:szCs w:val="21"/>
          <w:lang w:val="en-US" w:eastAsia="zh-CN"/>
        </w:rPr>
        <w:t>施工期水土保持监测贯穿于整个项目施工期间，每季度首月15日前提交上季度水土保持监测季报（施工期约36个月）。</w:t>
      </w:r>
    </w:p>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r>
        <w:rPr>
          <w:rFonts w:hint="eastAsia" w:ascii="宋体" w:hAnsi="宋体"/>
          <w:b/>
          <w:bCs/>
          <w:color w:val="000000"/>
          <w:sz w:val="21"/>
          <w:szCs w:val="21"/>
        </w:rPr>
        <w:t>检验和试验</w:t>
      </w:r>
      <w:bookmarkEnd w:id="31"/>
      <w:bookmarkEnd w:id="32"/>
    </w:p>
    <w:p>
      <w:pPr>
        <w:spacing w:line="360" w:lineRule="auto"/>
        <w:ind w:firstLine="424" w:firstLineChars="202"/>
        <w:rPr>
          <w:rFonts w:hint="eastAsia" w:ascii="宋体" w:hAnsi="宋体"/>
          <w:szCs w:val="21"/>
          <w:lang w:val="zh-CN"/>
        </w:rPr>
      </w:pPr>
      <w:r>
        <w:rPr>
          <w:rFonts w:hint="eastAsia" w:ascii="宋体" w:hAnsi="宋体"/>
          <w:szCs w:val="21"/>
          <w:lang w:val="zh-CN"/>
        </w:rPr>
        <w:t>总体按</w:t>
      </w:r>
      <w:r>
        <w:rPr>
          <w:rFonts w:hint="eastAsia" w:ascii="宋体" w:hAnsi="宋体"/>
          <w:b/>
          <w:szCs w:val="21"/>
          <w:lang w:val="zh-CN"/>
        </w:rPr>
        <w:t>“3.标准规范及技术要求”</w:t>
      </w:r>
      <w:r>
        <w:rPr>
          <w:rFonts w:hint="eastAsia" w:ascii="宋体" w:hAnsi="宋体"/>
          <w:szCs w:val="21"/>
          <w:lang w:val="zh-CN"/>
        </w:rPr>
        <w:t>进行验收。</w:t>
      </w:r>
    </w:p>
    <w:p>
      <w:pPr>
        <w:pStyle w:val="14"/>
        <w:numPr>
          <w:ilvl w:val="0"/>
          <w:numId w:val="1"/>
        </w:numPr>
        <w:tabs>
          <w:tab w:val="left" w:pos="426"/>
        </w:tabs>
        <w:suppressAutoHyphens w:val="0"/>
        <w:spacing w:line="360" w:lineRule="auto"/>
        <w:outlineLvl w:val="0"/>
        <w:rPr>
          <w:rFonts w:hint="eastAsia" w:ascii="宋体" w:hAnsi="宋体"/>
          <w:b/>
          <w:bCs/>
          <w:color w:val="000000"/>
          <w:sz w:val="21"/>
          <w:szCs w:val="21"/>
        </w:rPr>
      </w:pPr>
      <w:bookmarkStart w:id="33" w:name="_Toc44180045"/>
      <w:bookmarkStart w:id="34" w:name="_Toc381169831"/>
      <w:bookmarkStart w:id="35" w:name="_Toc380139610"/>
      <w:bookmarkStart w:id="36" w:name="_Toc38896859"/>
      <w:r>
        <w:rPr>
          <w:rFonts w:hint="eastAsia" w:ascii="宋体" w:hAnsi="宋体"/>
          <w:b/>
          <w:bCs/>
          <w:color w:val="000000"/>
          <w:sz w:val="21"/>
          <w:szCs w:val="21"/>
        </w:rPr>
        <w:t>售后服务</w:t>
      </w:r>
      <w:bookmarkEnd w:id="33"/>
      <w:bookmarkEnd w:id="34"/>
      <w:bookmarkEnd w:id="35"/>
      <w:bookmarkEnd w:id="36"/>
    </w:p>
    <w:p>
      <w:pPr>
        <w:spacing w:line="360" w:lineRule="auto"/>
        <w:ind w:firstLine="409" w:firstLineChars="195"/>
        <w:rPr>
          <w:rFonts w:hint="default" w:ascii="宋体" w:hAnsi="宋体"/>
          <w:szCs w:val="21"/>
          <w:lang w:val="en-US"/>
        </w:rPr>
      </w:pPr>
      <w:r>
        <w:rPr>
          <w:rFonts w:hint="default" w:ascii="宋体" w:hAnsi="宋体" w:eastAsia="宋体"/>
          <w:lang w:val="en-US" w:eastAsia="zh-CN"/>
        </w:rPr>
        <w:t>投标人接到招标人要求后应在24小时内</w:t>
      </w:r>
      <w:r>
        <w:rPr>
          <w:rFonts w:hint="eastAsia" w:ascii="宋体" w:hAnsi="宋体" w:eastAsia="宋体"/>
          <w:lang w:val="en-US" w:eastAsia="zh-CN"/>
        </w:rPr>
        <w:t>赶至</w:t>
      </w:r>
      <w:r>
        <w:rPr>
          <w:rFonts w:hint="default" w:ascii="宋体" w:hAnsi="宋体" w:eastAsia="宋体"/>
          <w:lang w:val="en-US" w:eastAsia="zh-CN"/>
        </w:rPr>
        <w:t>现场</w:t>
      </w:r>
      <w:r>
        <w:rPr>
          <w:rFonts w:hint="eastAsia" w:ascii="宋体" w:hAnsi="宋体" w:eastAsia="宋体"/>
          <w:lang w:val="en-US" w:eastAsia="zh-CN"/>
        </w:rPr>
        <w:t>或立即</w:t>
      </w:r>
      <w:r>
        <w:rPr>
          <w:rFonts w:hint="eastAsia" w:ascii="宋体" w:hAnsi="宋体"/>
          <w:lang w:val="en-US" w:eastAsia="zh-CN"/>
        </w:rPr>
        <w:t>提供</w:t>
      </w:r>
      <w:r>
        <w:rPr>
          <w:rFonts w:hint="eastAsia" w:ascii="宋体" w:hAnsi="宋体" w:eastAsia="宋体"/>
          <w:lang w:val="en-US" w:eastAsia="zh-CN"/>
        </w:rPr>
        <w:t>远程</w:t>
      </w:r>
      <w:r>
        <w:rPr>
          <w:rFonts w:hint="default" w:ascii="宋体" w:hAnsi="宋体" w:eastAsia="宋体"/>
          <w:lang w:val="en-US" w:eastAsia="zh-CN"/>
        </w:rPr>
        <w:t>服务。</w:t>
      </w:r>
    </w:p>
    <w:p>
      <w:pPr>
        <w:pStyle w:val="14"/>
        <w:numPr>
          <w:ilvl w:val="0"/>
          <w:numId w:val="1"/>
        </w:numPr>
        <w:tabs>
          <w:tab w:val="left" w:pos="426"/>
        </w:tabs>
        <w:suppressAutoHyphens w:val="0"/>
        <w:spacing w:line="360" w:lineRule="auto"/>
        <w:outlineLvl w:val="0"/>
        <w:rPr>
          <w:rFonts w:hint="eastAsia" w:ascii="宋体" w:hAnsi="宋体"/>
          <w:szCs w:val="21"/>
          <w:lang w:val="zh-CN"/>
        </w:rPr>
      </w:pPr>
      <w:bookmarkStart w:id="37" w:name="_Toc350329511"/>
      <w:bookmarkEnd w:id="37"/>
      <w:bookmarkStart w:id="38" w:name="_Toc350325985"/>
      <w:bookmarkEnd w:id="38"/>
      <w:bookmarkStart w:id="39" w:name="_Toc350329516"/>
      <w:bookmarkEnd w:id="39"/>
      <w:bookmarkStart w:id="40" w:name="_Toc350329513"/>
      <w:bookmarkEnd w:id="40"/>
      <w:bookmarkStart w:id="41" w:name="_Toc350329512"/>
      <w:bookmarkEnd w:id="41"/>
      <w:bookmarkStart w:id="42" w:name="_Toc350325982"/>
      <w:bookmarkEnd w:id="42"/>
      <w:bookmarkStart w:id="43" w:name="_Toc350329517"/>
      <w:bookmarkEnd w:id="43"/>
      <w:bookmarkStart w:id="44" w:name="_Toc350325983"/>
      <w:bookmarkEnd w:id="44"/>
      <w:bookmarkStart w:id="45" w:name="_Toc350329514"/>
      <w:bookmarkEnd w:id="45"/>
      <w:bookmarkStart w:id="46" w:name="_Toc350325978"/>
      <w:bookmarkEnd w:id="46"/>
      <w:bookmarkStart w:id="47" w:name="_Toc350329510"/>
      <w:bookmarkEnd w:id="47"/>
      <w:bookmarkStart w:id="48" w:name="_Toc350325979"/>
      <w:bookmarkEnd w:id="48"/>
      <w:bookmarkStart w:id="49" w:name="_Toc350325984"/>
      <w:bookmarkEnd w:id="49"/>
      <w:bookmarkStart w:id="50" w:name="_Toc350325980"/>
      <w:bookmarkEnd w:id="50"/>
      <w:bookmarkStart w:id="51" w:name="_Toc350325986"/>
      <w:bookmarkEnd w:id="51"/>
      <w:bookmarkStart w:id="52" w:name="_Toc350325981"/>
      <w:bookmarkEnd w:id="52"/>
      <w:bookmarkStart w:id="53" w:name="_Toc350325987"/>
      <w:bookmarkEnd w:id="53"/>
      <w:bookmarkStart w:id="54" w:name="_Toc350329519"/>
      <w:bookmarkEnd w:id="54"/>
      <w:bookmarkStart w:id="55" w:name="_Toc350329518"/>
      <w:bookmarkEnd w:id="55"/>
      <w:bookmarkStart w:id="56" w:name="_Toc350329515"/>
      <w:bookmarkEnd w:id="56"/>
      <w:bookmarkStart w:id="57" w:name="_Toc44180046"/>
      <w:bookmarkStart w:id="58" w:name="_Toc38896860"/>
      <w:r>
        <w:rPr>
          <w:rFonts w:hint="eastAsia" w:ascii="宋体" w:hAnsi="宋体"/>
          <w:b/>
          <w:bCs/>
          <w:color w:val="000000"/>
          <w:sz w:val="21"/>
          <w:szCs w:val="21"/>
        </w:rPr>
        <w:t>技术投标文件要求</w:t>
      </w:r>
      <w:bookmarkEnd w:id="57"/>
      <w:bookmarkEnd w:id="58"/>
    </w:p>
    <w:p>
      <w:pPr>
        <w:numPr>
          <w:ilvl w:val="0"/>
          <w:numId w:val="9"/>
        </w:numPr>
        <w:spacing w:line="360" w:lineRule="auto"/>
        <w:ind w:left="0" w:firstLine="0"/>
        <w:rPr>
          <w:szCs w:val="21"/>
        </w:rPr>
      </w:pPr>
      <w:r>
        <w:rPr>
          <w:rFonts w:hint="eastAsia"/>
          <w:szCs w:val="21"/>
          <w:lang w:val="en-US" w:eastAsia="zh-CN"/>
        </w:rPr>
        <w:t xml:space="preserve"> </w:t>
      </w:r>
      <w:r>
        <w:rPr>
          <w:rFonts w:hint="eastAsia"/>
          <w:szCs w:val="21"/>
        </w:rPr>
        <w:t>公司简介</w:t>
      </w:r>
    </w:p>
    <w:p>
      <w:pPr>
        <w:numPr>
          <w:ilvl w:val="0"/>
          <w:numId w:val="9"/>
        </w:numPr>
        <w:spacing w:line="360" w:lineRule="auto"/>
        <w:ind w:left="0" w:firstLine="0"/>
        <w:rPr>
          <w:rFonts w:hint="eastAsia"/>
          <w:szCs w:val="21"/>
        </w:rPr>
      </w:pPr>
      <w:r>
        <w:rPr>
          <w:rFonts w:hint="eastAsia"/>
          <w:szCs w:val="21"/>
          <w:lang w:val="en-US" w:eastAsia="zh-CN"/>
        </w:rPr>
        <w:t xml:space="preserve"> </w:t>
      </w:r>
      <w:r>
        <w:rPr>
          <w:rFonts w:hint="eastAsia"/>
          <w:szCs w:val="21"/>
        </w:rPr>
        <w:t>公司、</w:t>
      </w:r>
      <w:r>
        <w:rPr>
          <w:szCs w:val="21"/>
        </w:rPr>
        <w:t>人员</w:t>
      </w:r>
      <w:r>
        <w:rPr>
          <w:rFonts w:hint="eastAsia"/>
          <w:szCs w:val="21"/>
          <w:lang w:val="en-US" w:eastAsia="zh-CN"/>
        </w:rPr>
        <w:t>职称等</w:t>
      </w:r>
      <w:r>
        <w:rPr>
          <w:rFonts w:hint="eastAsia"/>
          <w:szCs w:val="21"/>
        </w:rPr>
        <w:t>情况</w:t>
      </w:r>
      <w:r>
        <w:rPr>
          <w:rFonts w:hint="eastAsia"/>
          <w:szCs w:val="21"/>
          <w:lang w:eastAsia="zh-CN"/>
        </w:rPr>
        <w:t>。</w:t>
      </w:r>
    </w:p>
    <w:p>
      <w:pPr>
        <w:numPr>
          <w:ilvl w:val="0"/>
          <w:numId w:val="9"/>
        </w:numPr>
        <w:spacing w:line="360" w:lineRule="auto"/>
        <w:ind w:left="0" w:firstLine="0"/>
        <w:rPr>
          <w:szCs w:val="21"/>
          <w:highlight w:val="none"/>
        </w:rPr>
      </w:pPr>
      <w:r>
        <w:rPr>
          <w:rFonts w:hint="eastAsia"/>
          <w:szCs w:val="21"/>
          <w:highlight w:val="none"/>
          <w:lang w:val="en-US" w:eastAsia="zh-CN"/>
        </w:rPr>
        <w:t xml:space="preserve"> </w:t>
      </w:r>
      <w:r>
        <w:rPr>
          <w:rFonts w:hint="eastAsia"/>
          <w:szCs w:val="21"/>
          <w:highlight w:val="none"/>
        </w:rPr>
        <w:t>近</w:t>
      </w:r>
      <w:r>
        <w:rPr>
          <w:rFonts w:hint="eastAsia"/>
          <w:szCs w:val="21"/>
          <w:highlight w:val="none"/>
          <w:lang w:val="en-US" w:eastAsia="zh-CN"/>
        </w:rPr>
        <w:t>3</w:t>
      </w:r>
      <w:r>
        <w:rPr>
          <w:rFonts w:hint="eastAsia"/>
          <w:szCs w:val="21"/>
          <w:highlight w:val="none"/>
        </w:rPr>
        <w:t>年内同类或类似服务业绩。</w:t>
      </w:r>
    </w:p>
    <w:p>
      <w:pPr>
        <w:numPr>
          <w:ilvl w:val="0"/>
          <w:numId w:val="9"/>
        </w:numPr>
        <w:spacing w:line="360" w:lineRule="auto"/>
        <w:ind w:left="0" w:firstLine="0"/>
        <w:rPr>
          <w:rFonts w:hint="eastAsia"/>
          <w:szCs w:val="21"/>
        </w:rPr>
      </w:pPr>
      <w:r>
        <w:rPr>
          <w:rFonts w:hint="eastAsia"/>
          <w:szCs w:val="21"/>
          <w:lang w:val="en-US" w:eastAsia="zh-CN"/>
        </w:rPr>
        <w:t xml:space="preserve"> </w:t>
      </w:r>
      <w:r>
        <w:rPr>
          <w:rFonts w:hint="eastAsia"/>
          <w:szCs w:val="21"/>
        </w:rPr>
        <w:t>技术方案（</w:t>
      </w:r>
      <w:r>
        <w:rPr>
          <w:rFonts w:hint="eastAsia"/>
          <w:szCs w:val="21"/>
          <w:lang w:val="zh-CN"/>
        </w:rPr>
        <w:t>包括但不限于：</w:t>
      </w:r>
      <w:r>
        <w:rPr>
          <w:rFonts w:hint="eastAsia"/>
          <w:szCs w:val="21"/>
          <w:lang w:val="en-US" w:eastAsia="zh-CN"/>
        </w:rPr>
        <w:t>服务的内容、方法、流程、实施计划、工作人员组成等</w:t>
      </w:r>
      <w:r>
        <w:rPr>
          <w:rFonts w:hint="eastAsia"/>
          <w:szCs w:val="21"/>
        </w:rPr>
        <w:t>）。</w:t>
      </w:r>
    </w:p>
    <w:p>
      <w:pPr>
        <w:numPr>
          <w:ilvl w:val="0"/>
          <w:numId w:val="9"/>
        </w:numPr>
        <w:spacing w:line="360" w:lineRule="auto"/>
        <w:ind w:left="0" w:firstLine="0"/>
        <w:rPr>
          <w:szCs w:val="21"/>
        </w:rPr>
      </w:pPr>
      <w:r>
        <w:rPr>
          <w:rFonts w:hint="eastAsia"/>
          <w:szCs w:val="21"/>
          <w:lang w:val="en-US" w:eastAsia="zh-CN"/>
        </w:rPr>
        <w:t xml:space="preserve"> </w:t>
      </w:r>
      <w:r>
        <w:rPr>
          <w:rFonts w:hint="eastAsia"/>
          <w:szCs w:val="21"/>
        </w:rPr>
        <w:t>使用的标准规范。</w:t>
      </w:r>
    </w:p>
    <w:p>
      <w:pPr>
        <w:numPr>
          <w:ilvl w:val="0"/>
          <w:numId w:val="9"/>
        </w:numPr>
        <w:spacing w:line="360" w:lineRule="auto"/>
        <w:ind w:left="0" w:firstLine="0"/>
        <w:rPr>
          <w:rFonts w:hint="eastAsia"/>
          <w:szCs w:val="21"/>
        </w:rPr>
      </w:pPr>
      <w:r>
        <w:rPr>
          <w:rFonts w:hint="eastAsia"/>
          <w:szCs w:val="21"/>
          <w:lang w:val="en-US" w:eastAsia="zh-CN"/>
        </w:rPr>
        <w:t xml:space="preserve"> </w:t>
      </w:r>
      <w:r>
        <w:rPr>
          <w:rFonts w:hint="eastAsia"/>
          <w:szCs w:val="21"/>
        </w:rPr>
        <w:t>服务范围及工</w:t>
      </w:r>
      <w:r>
        <w:rPr>
          <w:szCs w:val="21"/>
        </w:rPr>
        <w:t>期</w:t>
      </w:r>
      <w:r>
        <w:rPr>
          <w:rFonts w:hint="eastAsia"/>
          <w:szCs w:val="21"/>
        </w:rPr>
        <w:t>。</w:t>
      </w:r>
    </w:p>
    <w:p>
      <w:pPr>
        <w:numPr>
          <w:ilvl w:val="0"/>
          <w:numId w:val="9"/>
        </w:numPr>
        <w:spacing w:line="360" w:lineRule="auto"/>
        <w:ind w:left="0" w:firstLine="0"/>
        <w:rPr>
          <w:szCs w:val="21"/>
        </w:rPr>
      </w:pPr>
      <w:r>
        <w:rPr>
          <w:rFonts w:hint="eastAsia"/>
          <w:szCs w:val="21"/>
          <w:lang w:val="en-US" w:eastAsia="zh-CN"/>
        </w:rPr>
        <w:t xml:space="preserve"> </w:t>
      </w:r>
      <w:r>
        <w:rPr>
          <w:rFonts w:hint="eastAsia"/>
          <w:szCs w:val="21"/>
        </w:rPr>
        <w:t>详细的进度控制计划表及进度保证措施。</w:t>
      </w:r>
    </w:p>
    <w:p>
      <w:pPr>
        <w:numPr>
          <w:ilvl w:val="0"/>
          <w:numId w:val="9"/>
        </w:numPr>
        <w:spacing w:line="360" w:lineRule="auto"/>
        <w:ind w:left="0" w:firstLine="0"/>
        <w:rPr>
          <w:rFonts w:hint="eastAsia"/>
          <w:szCs w:val="21"/>
        </w:rPr>
      </w:pPr>
      <w:r>
        <w:rPr>
          <w:rFonts w:hint="eastAsia"/>
          <w:szCs w:val="21"/>
          <w:lang w:val="en-US" w:eastAsia="zh-CN"/>
        </w:rPr>
        <w:t xml:space="preserve"> </w:t>
      </w:r>
      <w:r>
        <w:rPr>
          <w:rFonts w:hint="eastAsia"/>
          <w:szCs w:val="21"/>
        </w:rPr>
        <w:t>服务及质量承诺。</w:t>
      </w:r>
    </w:p>
    <w:p>
      <w:pPr>
        <w:numPr>
          <w:ilvl w:val="0"/>
          <w:numId w:val="9"/>
        </w:numPr>
        <w:spacing w:line="360" w:lineRule="auto"/>
        <w:ind w:left="0" w:firstLine="0"/>
        <w:rPr>
          <w:rFonts w:hint="eastAsia"/>
          <w:szCs w:val="21"/>
        </w:rPr>
      </w:pPr>
      <w:r>
        <w:rPr>
          <w:rFonts w:hint="eastAsia"/>
          <w:szCs w:val="21"/>
        </w:rPr>
        <w:t>技术偏离等（</w:t>
      </w:r>
      <w:r>
        <w:rPr>
          <w:szCs w:val="21"/>
        </w:rPr>
        <w:t>附件</w:t>
      </w:r>
      <w:r>
        <w:rPr>
          <w:rFonts w:hint="eastAsia"/>
          <w:szCs w:val="21"/>
        </w:rPr>
        <w:t>3）。</w:t>
      </w:r>
    </w:p>
    <w:p>
      <w:pPr>
        <w:pStyle w:val="14"/>
        <w:numPr>
          <w:ilvl w:val="0"/>
          <w:numId w:val="1"/>
        </w:numPr>
        <w:tabs>
          <w:tab w:val="left" w:pos="426"/>
        </w:tabs>
        <w:suppressAutoHyphens w:val="0"/>
        <w:spacing w:line="360" w:lineRule="auto"/>
        <w:outlineLvl w:val="0"/>
        <w:rPr>
          <w:rFonts w:ascii="宋体" w:hAnsi="宋体"/>
          <w:szCs w:val="21"/>
        </w:rPr>
      </w:pPr>
      <w:bookmarkStart w:id="59" w:name="_Toc44180047"/>
      <w:bookmarkStart w:id="60" w:name="_Toc38896861"/>
      <w:r>
        <w:rPr>
          <w:rFonts w:hint="eastAsia" w:ascii="宋体" w:hAnsi="宋体"/>
          <w:b/>
          <w:bCs/>
          <w:color w:val="000000"/>
          <w:sz w:val="21"/>
          <w:szCs w:val="21"/>
        </w:rPr>
        <w:t>投标人应提供的项目完工资料</w:t>
      </w:r>
      <w:bookmarkEnd w:id="59"/>
      <w:bookmarkEnd w:id="60"/>
    </w:p>
    <w:p>
      <w:pPr>
        <w:spacing w:line="360" w:lineRule="auto"/>
        <w:ind w:firstLine="420" w:firstLineChars="200"/>
        <w:rPr>
          <w:rFonts w:hint="default" w:ascii="宋体" w:hAnsi="宋体" w:eastAsia="宋体"/>
          <w:szCs w:val="21"/>
          <w:lang w:val="en-US" w:eastAsia="zh-CN"/>
        </w:rPr>
      </w:pPr>
      <w:r>
        <w:rPr>
          <w:rFonts w:hint="eastAsia" w:ascii="宋体" w:hAnsi="宋体"/>
          <w:szCs w:val="21"/>
          <w:lang w:val="en-US" w:eastAsia="zh-CN"/>
        </w:rPr>
        <w:t xml:space="preserve"> 项目完工后一个月内，投标人完成水土保持技术成果文件汇总、编制工作，提交技术成果文件纸质版四套，并提交电子版资料一套。</w:t>
      </w:r>
      <w:r>
        <w:rPr>
          <w:rFonts w:hint="eastAsia" w:ascii="宋体" w:hAnsi="宋体"/>
          <w:szCs w:val="21"/>
        </w:rPr>
        <w:t>文件资料的交付，包括但不限于以下几方面：</w:t>
      </w:r>
      <w:r>
        <w:rPr>
          <w:rFonts w:hint="eastAsia" w:ascii="宋体" w:hAnsi="宋体"/>
          <w:szCs w:val="21"/>
          <w:lang w:val="en-US" w:eastAsia="zh-CN"/>
        </w:rPr>
        <w:t>水土保持方案报告书、水土保持方案批复文件、水土保持监测实施方案、水土保持监测季度报告、水土保持监测总结报告以及相关影像资料，同时提供含所有完工资料的U盘两个。U盘表面须具有该项目名称的标识。项目名称以专家评审后名称为准。</w:t>
      </w:r>
    </w:p>
    <w:p>
      <w:pPr>
        <w:pStyle w:val="16"/>
        <w:rPr>
          <w:rFonts w:hint="eastAsia"/>
        </w:rPr>
      </w:pPr>
      <w:r>
        <w:br w:type="page"/>
      </w:r>
      <w:bookmarkStart w:id="61" w:name="_Toc38896862"/>
      <w:bookmarkStart w:id="62" w:name="_Toc381706859"/>
      <w:bookmarkStart w:id="63" w:name="_Toc381706232"/>
      <w:bookmarkStart w:id="64" w:name="_Toc44180048"/>
      <w:bookmarkStart w:id="65" w:name="_Toc381706331"/>
      <w:r>
        <w:rPr>
          <w:rFonts w:hint="eastAsia"/>
        </w:rPr>
        <w:t>附件1 图纸</w:t>
      </w:r>
      <w:bookmarkEnd w:id="61"/>
      <w:bookmarkEnd w:id="62"/>
      <w:bookmarkEnd w:id="63"/>
      <w:bookmarkEnd w:id="64"/>
      <w:bookmarkEnd w:id="65"/>
    </w:p>
    <w:p>
      <w:pPr>
        <w:spacing w:line="360" w:lineRule="auto"/>
        <w:ind w:firstLine="424" w:firstLineChars="202"/>
        <w:rPr>
          <w:rFonts w:ascii="宋体" w:hAnsi="宋体"/>
          <w:szCs w:val="21"/>
        </w:rPr>
      </w:pPr>
      <w:r>
        <w:rPr>
          <w:rFonts w:hint="eastAsia" w:ascii="宋体" w:hAnsi="宋体"/>
          <w:szCs w:val="21"/>
        </w:rPr>
        <w:t>提供与项目相关的图纸</w:t>
      </w:r>
      <w:r>
        <w:rPr>
          <w:rFonts w:hint="eastAsia" w:ascii="宋体" w:hAnsi="宋体"/>
          <w:szCs w:val="21"/>
          <w:lang w:val="en-US" w:eastAsia="zh-CN"/>
        </w:rPr>
        <w:t>等</w:t>
      </w:r>
      <w:r>
        <w:rPr>
          <w:rFonts w:hint="eastAsia" w:ascii="宋体" w:hAnsi="宋体"/>
          <w:szCs w:val="21"/>
        </w:rPr>
        <w:t>。</w:t>
      </w:r>
    </w:p>
    <w:p>
      <w:pPr>
        <w:pStyle w:val="16"/>
        <w:rPr>
          <w:rFonts w:hint="eastAsia"/>
        </w:rPr>
      </w:pPr>
      <w:bookmarkStart w:id="66" w:name="_Toc44180049"/>
      <w:r>
        <w:rPr>
          <w:rFonts w:hint="eastAsia"/>
        </w:rPr>
        <w:t>附件2动员计划</w:t>
      </w:r>
      <w:bookmarkEnd w:id="66"/>
    </w:p>
    <w:p>
      <w:pPr>
        <w:spacing w:line="360" w:lineRule="auto"/>
        <w:jc w:val="center"/>
        <w:rPr>
          <w:rFonts w:hint="eastAsia"/>
        </w:rPr>
      </w:pPr>
      <w:r>
        <w:rPr>
          <w:rFonts w:hint="eastAsia"/>
        </w:rPr>
        <w:t>表</w:t>
      </w:r>
      <w:r>
        <w:t>1</w:t>
      </w:r>
      <w:r>
        <w:rPr>
          <w:rFonts w:hint="eastAsia"/>
        </w:rPr>
        <w:t>人力动员计划</w:t>
      </w:r>
    </w:p>
    <w:tbl>
      <w:tblPr>
        <w:tblStyle w:val="8"/>
        <w:tblW w:w="8505" w:type="dxa"/>
        <w:tblInd w:w="108" w:type="dxa"/>
        <w:tblLayout w:type="fixed"/>
        <w:tblCellMar>
          <w:top w:w="0" w:type="dxa"/>
          <w:left w:w="108" w:type="dxa"/>
          <w:bottom w:w="0" w:type="dxa"/>
          <w:right w:w="108" w:type="dxa"/>
        </w:tblCellMar>
      </w:tblPr>
      <w:tblGrid>
        <w:gridCol w:w="709"/>
        <w:gridCol w:w="1418"/>
        <w:gridCol w:w="1701"/>
        <w:gridCol w:w="2409"/>
        <w:gridCol w:w="709"/>
        <w:gridCol w:w="1559"/>
      </w:tblGrid>
      <w:tr>
        <w:tblPrEx>
          <w:tblCellMar>
            <w:top w:w="0" w:type="dxa"/>
            <w:left w:w="108" w:type="dxa"/>
            <w:bottom w:w="0" w:type="dxa"/>
            <w:right w:w="108" w:type="dxa"/>
          </w:tblCellMar>
        </w:tblPrEx>
        <w:trPr>
          <w:trHeight w:val="4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sz w:val="18"/>
                <w:szCs w:val="21"/>
              </w:rPr>
            </w:pPr>
            <w:r>
              <w:rPr>
                <w:rFonts w:hint="eastAsia" w:ascii="宋体" w:hAnsi="宋体"/>
                <w:bCs/>
                <w:sz w:val="18"/>
                <w:szCs w:val="21"/>
              </w:rPr>
              <w:t>序号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sz w:val="18"/>
                <w:szCs w:val="21"/>
              </w:rPr>
            </w:pPr>
            <w:r>
              <w:rPr>
                <w:rFonts w:hint="eastAsia" w:ascii="宋体" w:hAnsi="宋体"/>
                <w:bCs/>
                <w:sz w:val="18"/>
                <w:szCs w:val="21"/>
              </w:rPr>
              <w:t>姓名</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bCs/>
                <w:sz w:val="18"/>
                <w:szCs w:val="21"/>
              </w:rPr>
            </w:pPr>
            <w:r>
              <w:rPr>
                <w:rFonts w:hint="eastAsia" w:ascii="宋体" w:hAnsi="宋体"/>
                <w:bCs/>
                <w:sz w:val="18"/>
                <w:szCs w:val="21"/>
              </w:rPr>
              <w:t>工种</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sz w:val="18"/>
                <w:szCs w:val="21"/>
              </w:rPr>
            </w:pPr>
            <w:r>
              <w:rPr>
                <w:rFonts w:hint="eastAsia" w:ascii="宋体" w:hAnsi="宋体"/>
                <w:bCs/>
                <w:sz w:val="18"/>
                <w:szCs w:val="21"/>
              </w:rPr>
              <w:t>技术资格</w:t>
            </w: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sz w:val="18"/>
                <w:szCs w:val="21"/>
              </w:rPr>
            </w:pPr>
            <w:r>
              <w:rPr>
                <w:rFonts w:hint="eastAsia" w:ascii="宋体" w:hAnsi="宋体"/>
                <w:bCs/>
                <w:sz w:val="18"/>
                <w:szCs w:val="21"/>
              </w:rPr>
              <w:t>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bCs/>
                <w:sz w:val="18"/>
                <w:szCs w:val="21"/>
              </w:rPr>
            </w:pPr>
            <w:r>
              <w:rPr>
                <w:rFonts w:hint="eastAsia" w:ascii="宋体" w:hAnsi="宋体"/>
                <w:bCs/>
                <w:sz w:val="18"/>
                <w:szCs w:val="21"/>
              </w:rPr>
              <w:t>备注</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sz w:val="18"/>
                <w:szCs w:val="21"/>
              </w:rPr>
            </w:pPr>
            <w:r>
              <w:rPr>
                <w:rFonts w:hint="eastAsia" w:ascii="宋体" w:hAnsi="宋体"/>
                <w:sz w:val="18"/>
                <w:szCs w:val="21"/>
              </w:rPr>
              <w:t>1</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sz w:val="18"/>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sz w:val="18"/>
                <w:szCs w:val="21"/>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18"/>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ascii="宋体" w:hAnsi="宋体"/>
                <w:sz w:val="18"/>
                <w:szCs w:val="21"/>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kern w:val="0"/>
                <w:sz w:val="18"/>
                <w:szCs w:val="21"/>
              </w:rPr>
            </w:pPr>
            <w:r>
              <w:rPr>
                <w:rFonts w:hint="eastAsia" w:ascii="宋体" w:hAnsi="宋体"/>
                <w:kern w:val="0"/>
                <w:sz w:val="18"/>
                <w:szCs w:val="21"/>
              </w:rPr>
              <w:t>单独逐项列明</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r>
              <w:rPr>
                <w:rFonts w:hint="eastAsia" w:ascii="宋体" w:hAnsi="宋体"/>
                <w:sz w:val="18"/>
                <w:szCs w:val="21"/>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 w:val="18"/>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sz w:val="18"/>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rPr>
                <w:rFonts w:hint="eastAsia" w:ascii="宋体" w:hAnsi="宋体"/>
                <w:sz w:val="18"/>
                <w:szCs w:val="21"/>
              </w:rPr>
            </w:pPr>
          </w:p>
        </w:tc>
      </w:tr>
      <w:tr>
        <w:tblPrEx>
          <w:tblCellMar>
            <w:top w:w="0" w:type="dxa"/>
            <w:left w:w="108" w:type="dxa"/>
            <w:bottom w:w="0" w:type="dxa"/>
            <w:right w:w="108" w:type="dxa"/>
          </w:tblCellMar>
        </w:tblPrEx>
        <w:trPr>
          <w:trHeight w:val="41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r>
              <w:rPr>
                <w:rFonts w:hint="eastAsia" w:ascii="宋体" w:hAnsi="宋体"/>
                <w:sz w:val="18"/>
                <w:szCs w:val="21"/>
              </w:rPr>
              <w:t>.</w:t>
            </w:r>
            <w:r>
              <w:rPr>
                <w:rFonts w:ascii="宋体" w:hAnsi="宋体"/>
                <w:sz w:val="18"/>
                <w:szCs w:val="21"/>
              </w:rPr>
              <w:t>.</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sz w:val="18"/>
                <w:szCs w:val="21"/>
              </w:rPr>
            </w:pPr>
            <w:r>
              <w:rPr>
                <w:rFonts w:hint="eastAsia" w:ascii="宋体" w:hAnsi="宋体"/>
                <w:sz w:val="18"/>
                <w:szCs w:val="21"/>
              </w:rPr>
              <w:t>.</w:t>
            </w:r>
            <w:r>
              <w:rPr>
                <w:rFonts w:ascii="宋体" w:hAnsi="宋体"/>
                <w:sz w:val="18"/>
                <w:szCs w:val="21"/>
              </w:rPr>
              <w:t>.</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r>
              <w:rPr>
                <w:rFonts w:ascii="宋体" w:hAnsi="宋体"/>
                <w:sz w:val="18"/>
                <w:szCs w:val="21"/>
              </w:rPr>
              <w:t>…</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sz w:val="18"/>
                <w:szCs w:val="21"/>
              </w:rPr>
            </w:pPr>
            <w:r>
              <w:rPr>
                <w:rFonts w:ascii="宋体" w:hAnsi="宋体"/>
                <w:sz w:val="18"/>
                <w:szCs w:val="21"/>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r>
              <w:rPr>
                <w:rFonts w:ascii="宋体" w:hAnsi="宋体"/>
                <w:sz w:val="18"/>
                <w:szCs w:val="21"/>
              </w:rPr>
              <w:t>…</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14"/>
              <w:tabs>
                <w:tab w:val="left" w:pos="426"/>
                <w:tab w:val="clear" w:pos="9000"/>
                <w:tab w:val="clear" w:pos="9360"/>
              </w:tabs>
              <w:suppressAutoHyphens w:val="0"/>
              <w:spacing w:line="360" w:lineRule="auto"/>
              <w:jc w:val="center"/>
              <w:rPr>
                <w:rFonts w:hint="eastAsia" w:ascii="宋体" w:hAnsi="宋体"/>
                <w:sz w:val="18"/>
                <w:szCs w:val="21"/>
              </w:rPr>
            </w:pPr>
            <w:r>
              <w:rPr>
                <w:rFonts w:ascii="宋体" w:hAnsi="宋体"/>
                <w:sz w:val="18"/>
                <w:szCs w:val="21"/>
              </w:rPr>
              <w:t>…</w:t>
            </w:r>
          </w:p>
        </w:tc>
      </w:tr>
    </w:tbl>
    <w:p>
      <w:pPr>
        <w:spacing w:line="360" w:lineRule="auto"/>
        <w:rPr>
          <w:rFonts w:hint="eastAsia" w:ascii="宋体" w:hAnsi="宋体"/>
          <w:szCs w:val="21"/>
        </w:rPr>
      </w:pPr>
    </w:p>
    <w:p>
      <w:pPr>
        <w:spacing w:line="360" w:lineRule="auto"/>
        <w:jc w:val="center"/>
        <w:rPr>
          <w:rFonts w:hint="eastAsia"/>
        </w:rPr>
      </w:pPr>
      <w:r>
        <w:rPr>
          <w:rFonts w:hint="eastAsia"/>
        </w:rPr>
        <w:t>表</w:t>
      </w:r>
      <w:r>
        <w:t>2</w:t>
      </w:r>
      <w:r>
        <w:rPr>
          <w:rFonts w:hint="eastAsia"/>
        </w:rPr>
        <w:t>工机具动员计划</w:t>
      </w:r>
    </w:p>
    <w:tbl>
      <w:tblPr>
        <w:tblStyle w:val="8"/>
        <w:tblW w:w="8505" w:type="dxa"/>
        <w:tblInd w:w="108" w:type="dxa"/>
        <w:tblLayout w:type="fixed"/>
        <w:tblCellMar>
          <w:top w:w="0" w:type="dxa"/>
          <w:left w:w="108" w:type="dxa"/>
          <w:bottom w:w="0" w:type="dxa"/>
          <w:right w:w="108" w:type="dxa"/>
        </w:tblCellMar>
      </w:tblPr>
      <w:tblGrid>
        <w:gridCol w:w="709"/>
        <w:gridCol w:w="1418"/>
        <w:gridCol w:w="1701"/>
        <w:gridCol w:w="2409"/>
        <w:gridCol w:w="709"/>
        <w:gridCol w:w="1559"/>
      </w:tblGrid>
      <w:tr>
        <w:tblPrEx>
          <w:tblCellMar>
            <w:top w:w="0" w:type="dxa"/>
            <w:left w:w="108" w:type="dxa"/>
            <w:bottom w:w="0" w:type="dxa"/>
            <w:right w:w="108" w:type="dxa"/>
          </w:tblCellMar>
        </w:tblPrEx>
        <w:trPr>
          <w:trHeight w:val="4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kern w:val="0"/>
                <w:sz w:val="18"/>
                <w:szCs w:val="21"/>
              </w:rPr>
            </w:pPr>
            <w:r>
              <w:rPr>
                <w:rFonts w:hint="eastAsia" w:ascii="宋体" w:hAnsi="宋体"/>
                <w:bCs/>
                <w:kern w:val="0"/>
                <w:sz w:val="18"/>
                <w:szCs w:val="21"/>
              </w:rPr>
              <w:t>序号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kern w:val="0"/>
                <w:sz w:val="18"/>
                <w:szCs w:val="21"/>
              </w:rPr>
            </w:pPr>
            <w:r>
              <w:rPr>
                <w:rFonts w:hint="eastAsia" w:ascii="宋体" w:hAnsi="宋体"/>
                <w:bCs/>
                <w:kern w:val="0"/>
                <w:sz w:val="18"/>
                <w:szCs w:val="21"/>
              </w:rPr>
              <w:t>名称</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bCs/>
                <w:kern w:val="0"/>
                <w:sz w:val="18"/>
                <w:szCs w:val="21"/>
              </w:rPr>
            </w:pPr>
            <w:r>
              <w:rPr>
                <w:rFonts w:hint="eastAsia" w:ascii="宋体" w:hAnsi="宋体"/>
                <w:bCs/>
                <w:kern w:val="0"/>
                <w:sz w:val="18"/>
                <w:szCs w:val="21"/>
              </w:rPr>
              <w:t>品牌</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kern w:val="0"/>
                <w:sz w:val="18"/>
                <w:szCs w:val="21"/>
              </w:rPr>
            </w:pPr>
            <w:r>
              <w:rPr>
                <w:rFonts w:hint="eastAsia" w:ascii="宋体" w:hAnsi="宋体"/>
                <w:bCs/>
                <w:kern w:val="0"/>
                <w:sz w:val="18"/>
                <w:szCs w:val="21"/>
              </w:rPr>
              <w:t>规格型号</w:t>
            </w: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kern w:val="0"/>
                <w:sz w:val="18"/>
                <w:szCs w:val="21"/>
              </w:rPr>
            </w:pPr>
            <w:r>
              <w:rPr>
                <w:rFonts w:hint="eastAsia" w:ascii="宋体" w:hAnsi="宋体"/>
                <w:bCs/>
                <w:kern w:val="0"/>
                <w:sz w:val="18"/>
                <w:szCs w:val="21"/>
              </w:rPr>
              <w:t>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bCs/>
                <w:kern w:val="0"/>
                <w:sz w:val="18"/>
                <w:szCs w:val="21"/>
              </w:rPr>
            </w:pPr>
            <w:r>
              <w:rPr>
                <w:rFonts w:hint="eastAsia" w:ascii="宋体" w:hAnsi="宋体"/>
                <w:bCs/>
                <w:kern w:val="0"/>
                <w:sz w:val="18"/>
                <w:szCs w:val="21"/>
              </w:rPr>
              <w:t>备注</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kern w:val="0"/>
                <w:sz w:val="18"/>
                <w:szCs w:val="21"/>
              </w:rPr>
            </w:pPr>
            <w:r>
              <w:rPr>
                <w:rFonts w:hint="eastAsia" w:ascii="宋体" w:hAnsi="宋体"/>
                <w:kern w:val="0"/>
                <w:sz w:val="18"/>
                <w:szCs w:val="21"/>
              </w:rPr>
              <w:t>1</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18"/>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kern w:val="0"/>
                <w:sz w:val="18"/>
                <w:szCs w:val="21"/>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18"/>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ascii="宋体" w:hAnsi="宋体"/>
                <w:kern w:val="0"/>
                <w:sz w:val="18"/>
                <w:szCs w:val="21"/>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kern w:val="0"/>
                <w:sz w:val="18"/>
                <w:szCs w:val="21"/>
              </w:rPr>
            </w:pPr>
            <w:r>
              <w:rPr>
                <w:rFonts w:hint="eastAsia" w:ascii="宋体" w:hAnsi="宋体"/>
                <w:kern w:val="0"/>
                <w:sz w:val="18"/>
                <w:szCs w:val="21"/>
              </w:rPr>
              <w:t>单独逐项列明</w:t>
            </w: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r>
              <w:rPr>
                <w:rFonts w:hint="eastAsia" w:ascii="宋体" w:hAnsi="宋体"/>
                <w:kern w:val="0"/>
                <w:sz w:val="18"/>
                <w:szCs w:val="21"/>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 w:val="18"/>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 w:val="18"/>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kern w:val="0"/>
                <w:sz w:val="18"/>
                <w:szCs w:val="21"/>
              </w:rPr>
            </w:pPr>
          </w:p>
        </w:tc>
      </w:tr>
      <w:tr>
        <w:tblPrEx>
          <w:tblCellMar>
            <w:top w:w="0" w:type="dxa"/>
            <w:left w:w="108" w:type="dxa"/>
            <w:bottom w:w="0" w:type="dxa"/>
            <w:right w:w="108" w:type="dxa"/>
          </w:tblCellMar>
        </w:tblPrEx>
        <w:trPr>
          <w:trHeight w:val="33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r>
              <w:rPr>
                <w:rFonts w:hint="eastAsia" w:ascii="宋体" w:hAnsi="宋体"/>
                <w:kern w:val="0"/>
                <w:sz w:val="18"/>
                <w:szCs w:val="21"/>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 w:val="18"/>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 w:val="18"/>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left"/>
              <w:rPr>
                <w:rFonts w:hint="eastAsia" w:ascii="宋体" w:hAnsi="宋体"/>
                <w:kern w:val="0"/>
                <w:sz w:val="18"/>
                <w:szCs w:val="21"/>
              </w:rPr>
            </w:pPr>
          </w:p>
        </w:tc>
      </w:tr>
      <w:tr>
        <w:tblPrEx>
          <w:tblCellMar>
            <w:top w:w="0" w:type="dxa"/>
            <w:left w:w="108" w:type="dxa"/>
            <w:bottom w:w="0" w:type="dxa"/>
            <w:right w:w="108" w:type="dxa"/>
          </w:tblCellMar>
        </w:tblPrEx>
        <w:trPr>
          <w:trHeight w:val="413"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r>
              <w:rPr>
                <w:rFonts w:hint="eastAsia" w:ascii="宋体" w:hAnsi="宋体"/>
                <w:kern w:val="0"/>
                <w:sz w:val="18"/>
                <w:szCs w:val="21"/>
              </w:rPr>
              <w:t>.</w:t>
            </w:r>
            <w:r>
              <w:rPr>
                <w:rFonts w:ascii="宋体" w:hAnsi="宋体"/>
                <w:kern w:val="0"/>
                <w:sz w:val="18"/>
                <w:szCs w:val="21"/>
              </w:rPr>
              <w:t>.</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 w:val="18"/>
                <w:szCs w:val="21"/>
              </w:rPr>
            </w:pPr>
            <w:r>
              <w:rPr>
                <w:rFonts w:hint="eastAsia" w:ascii="宋体" w:hAnsi="宋体"/>
                <w:sz w:val="18"/>
                <w:szCs w:val="21"/>
              </w:rPr>
              <w:t>.</w:t>
            </w:r>
            <w:r>
              <w:rPr>
                <w:rFonts w:ascii="宋体" w:hAnsi="宋体"/>
                <w:sz w:val="18"/>
                <w:szCs w:val="21"/>
              </w:rPr>
              <w:t>.</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r>
              <w:rPr>
                <w:rFonts w:ascii="宋体" w:hAnsi="宋体"/>
                <w:kern w:val="0"/>
                <w:sz w:val="18"/>
                <w:szCs w:val="21"/>
              </w:rPr>
              <w:t>…</w:t>
            </w:r>
          </w:p>
        </w:tc>
        <w:tc>
          <w:tcPr>
            <w:tcW w:w="24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 w:val="18"/>
                <w:szCs w:val="21"/>
              </w:rPr>
            </w:pPr>
            <w:r>
              <w:rPr>
                <w:rFonts w:ascii="宋体" w:hAnsi="宋体"/>
                <w:sz w:val="18"/>
                <w:szCs w:val="21"/>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r>
              <w:rPr>
                <w:rFonts w:ascii="宋体" w:hAnsi="宋体"/>
                <w:kern w:val="0"/>
                <w:sz w:val="18"/>
                <w:szCs w:val="21"/>
              </w:rPr>
              <w:t>…</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26"/>
              </w:tabs>
              <w:jc w:val="center"/>
              <w:rPr>
                <w:rFonts w:hint="eastAsia" w:ascii="宋体" w:hAnsi="宋体"/>
                <w:kern w:val="0"/>
                <w:sz w:val="18"/>
                <w:szCs w:val="21"/>
              </w:rPr>
            </w:pPr>
            <w:r>
              <w:rPr>
                <w:rFonts w:ascii="宋体" w:hAnsi="宋体"/>
                <w:kern w:val="0"/>
                <w:sz w:val="18"/>
                <w:szCs w:val="21"/>
              </w:rPr>
              <w:t>…</w:t>
            </w:r>
          </w:p>
        </w:tc>
      </w:tr>
    </w:tbl>
    <w:p>
      <w:pPr>
        <w:spacing w:line="360" w:lineRule="auto"/>
        <w:ind w:firstLine="424" w:firstLineChars="202"/>
        <w:rPr>
          <w:rFonts w:hint="eastAsia" w:ascii="宋体" w:hAnsi="宋体"/>
          <w:szCs w:val="21"/>
        </w:rPr>
      </w:pPr>
    </w:p>
    <w:p>
      <w:pPr>
        <w:pStyle w:val="16"/>
        <w:rPr>
          <w:rFonts w:hint="eastAsia"/>
        </w:rPr>
      </w:pPr>
      <w:bookmarkStart w:id="67" w:name="_Toc38896863"/>
      <w:bookmarkStart w:id="68" w:name="_Toc44180050"/>
      <w:bookmarkStart w:id="69" w:name="_Toc381706332"/>
      <w:bookmarkStart w:id="70" w:name="_Toc381706233"/>
      <w:bookmarkStart w:id="71" w:name="_Toc381169840"/>
      <w:bookmarkStart w:id="72" w:name="_Toc381706860"/>
      <w:r>
        <w:rPr>
          <w:rFonts w:hint="eastAsia"/>
        </w:rPr>
        <w:t>附件</w:t>
      </w:r>
      <w:r>
        <w:t>3</w:t>
      </w:r>
      <w:r>
        <w:rPr>
          <w:rFonts w:hint="eastAsia"/>
        </w:rPr>
        <w:t xml:space="preserve"> 技术偏离表</w:t>
      </w:r>
      <w:bookmarkEnd w:id="67"/>
      <w:bookmarkEnd w:id="68"/>
      <w:bookmarkEnd w:id="69"/>
      <w:bookmarkEnd w:id="70"/>
      <w:bookmarkEnd w:id="71"/>
      <w:bookmarkEnd w:id="72"/>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996"/>
        <w:gridCol w:w="2788"/>
        <w:gridCol w:w="895"/>
        <w:gridCol w:w="3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395" w:type="pct"/>
            <w:vMerge w:val="restart"/>
            <w:noWrap w:val="0"/>
            <w:vAlign w:val="center"/>
          </w:tcPr>
          <w:p>
            <w:pPr>
              <w:spacing w:line="480" w:lineRule="exact"/>
              <w:jc w:val="center"/>
              <w:rPr>
                <w:rFonts w:ascii="宋体" w:hAnsi="宋体"/>
                <w:szCs w:val="21"/>
              </w:rPr>
            </w:pPr>
            <w:r>
              <w:rPr>
                <w:rFonts w:hint="eastAsia" w:ascii="宋体" w:hAnsi="宋体"/>
                <w:szCs w:val="21"/>
              </w:rPr>
              <w:t>序号</w:t>
            </w:r>
          </w:p>
        </w:tc>
        <w:tc>
          <w:tcPr>
            <w:tcW w:w="2135" w:type="pct"/>
            <w:gridSpan w:val="2"/>
            <w:noWrap w:val="0"/>
            <w:vAlign w:val="center"/>
          </w:tcPr>
          <w:p>
            <w:pPr>
              <w:spacing w:line="480" w:lineRule="exact"/>
              <w:jc w:val="center"/>
              <w:rPr>
                <w:rFonts w:ascii="宋体" w:hAnsi="宋体"/>
                <w:szCs w:val="21"/>
              </w:rPr>
            </w:pPr>
            <w:r>
              <w:rPr>
                <w:rFonts w:hint="eastAsia" w:ascii="宋体" w:hAnsi="宋体"/>
                <w:szCs w:val="21"/>
              </w:rPr>
              <w:t>技术询价文件</w:t>
            </w:r>
          </w:p>
        </w:tc>
        <w:tc>
          <w:tcPr>
            <w:tcW w:w="2470" w:type="pct"/>
            <w:gridSpan w:val="2"/>
            <w:noWrap w:val="0"/>
            <w:vAlign w:val="center"/>
          </w:tcPr>
          <w:p>
            <w:pPr>
              <w:spacing w:line="480" w:lineRule="exact"/>
              <w:jc w:val="center"/>
              <w:rPr>
                <w:rFonts w:ascii="宋体" w:hAnsi="宋体"/>
                <w:szCs w:val="21"/>
              </w:rPr>
            </w:pPr>
            <w:r>
              <w:rPr>
                <w:rFonts w:hint="eastAsia" w:ascii="宋体" w:hAnsi="宋体"/>
                <w:szCs w:val="21"/>
              </w:rPr>
              <w:t>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5" w:type="pct"/>
            <w:vMerge w:val="continue"/>
            <w:noWrap w:val="0"/>
            <w:vAlign w:val="center"/>
          </w:tcPr>
          <w:p>
            <w:pPr>
              <w:spacing w:line="480" w:lineRule="exact"/>
              <w:jc w:val="center"/>
              <w:rPr>
                <w:rFonts w:ascii="宋体" w:hAnsi="宋体"/>
                <w:szCs w:val="21"/>
              </w:rPr>
            </w:pPr>
          </w:p>
        </w:tc>
        <w:tc>
          <w:tcPr>
            <w:tcW w:w="562" w:type="pct"/>
            <w:noWrap w:val="0"/>
            <w:vAlign w:val="center"/>
          </w:tcPr>
          <w:p>
            <w:pPr>
              <w:spacing w:line="480" w:lineRule="exact"/>
              <w:jc w:val="center"/>
              <w:rPr>
                <w:rFonts w:ascii="宋体" w:hAnsi="宋体"/>
                <w:szCs w:val="21"/>
              </w:rPr>
            </w:pPr>
            <w:r>
              <w:rPr>
                <w:rFonts w:hint="eastAsia" w:ascii="宋体" w:hAnsi="宋体"/>
                <w:szCs w:val="21"/>
              </w:rPr>
              <w:t>条目</w:t>
            </w:r>
          </w:p>
        </w:tc>
        <w:tc>
          <w:tcPr>
            <w:tcW w:w="1573" w:type="pct"/>
            <w:noWrap w:val="0"/>
            <w:vAlign w:val="center"/>
          </w:tcPr>
          <w:p>
            <w:pPr>
              <w:spacing w:line="480" w:lineRule="exact"/>
              <w:jc w:val="center"/>
              <w:rPr>
                <w:rFonts w:ascii="宋体" w:hAnsi="宋体"/>
                <w:szCs w:val="21"/>
              </w:rPr>
            </w:pPr>
            <w:r>
              <w:rPr>
                <w:rFonts w:hint="eastAsia" w:ascii="宋体" w:hAnsi="宋体"/>
                <w:szCs w:val="21"/>
              </w:rPr>
              <w:t>简要内容</w:t>
            </w:r>
          </w:p>
        </w:tc>
        <w:tc>
          <w:tcPr>
            <w:tcW w:w="505" w:type="pct"/>
            <w:noWrap w:val="0"/>
            <w:vAlign w:val="center"/>
          </w:tcPr>
          <w:p>
            <w:pPr>
              <w:spacing w:line="480" w:lineRule="exact"/>
              <w:jc w:val="center"/>
              <w:rPr>
                <w:rFonts w:ascii="宋体" w:hAnsi="宋体"/>
                <w:szCs w:val="21"/>
              </w:rPr>
            </w:pPr>
            <w:r>
              <w:rPr>
                <w:rFonts w:hint="eastAsia" w:ascii="宋体" w:hAnsi="宋体"/>
                <w:szCs w:val="21"/>
              </w:rPr>
              <w:t>条目</w:t>
            </w:r>
          </w:p>
        </w:tc>
        <w:tc>
          <w:tcPr>
            <w:tcW w:w="1965" w:type="pct"/>
            <w:noWrap w:val="0"/>
            <w:vAlign w:val="center"/>
          </w:tcPr>
          <w:p>
            <w:pPr>
              <w:spacing w:line="480" w:lineRule="exact"/>
              <w:jc w:val="center"/>
              <w:rPr>
                <w:rFonts w:ascii="宋体" w:hAnsi="宋体"/>
                <w:szCs w:val="21"/>
              </w:rPr>
            </w:pPr>
            <w:r>
              <w:rPr>
                <w:rFonts w:hint="eastAsia" w:ascii="宋体" w:hAnsi="宋体"/>
                <w:szCs w:val="21"/>
              </w:rPr>
              <w:t>简要内容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95" w:type="pct"/>
            <w:noWrap w:val="0"/>
            <w:vAlign w:val="center"/>
          </w:tcPr>
          <w:p>
            <w:pPr>
              <w:spacing w:line="480" w:lineRule="exact"/>
              <w:jc w:val="center"/>
              <w:rPr>
                <w:rFonts w:ascii="宋体" w:hAnsi="宋体"/>
                <w:szCs w:val="21"/>
              </w:rPr>
            </w:pPr>
          </w:p>
        </w:tc>
        <w:tc>
          <w:tcPr>
            <w:tcW w:w="562" w:type="pct"/>
            <w:noWrap w:val="0"/>
            <w:vAlign w:val="center"/>
          </w:tcPr>
          <w:p>
            <w:pPr>
              <w:spacing w:line="480" w:lineRule="exact"/>
              <w:jc w:val="center"/>
              <w:rPr>
                <w:rFonts w:ascii="宋体" w:hAnsi="宋体"/>
                <w:szCs w:val="21"/>
              </w:rPr>
            </w:pPr>
          </w:p>
        </w:tc>
        <w:tc>
          <w:tcPr>
            <w:tcW w:w="1573" w:type="pct"/>
            <w:noWrap w:val="0"/>
            <w:vAlign w:val="center"/>
          </w:tcPr>
          <w:p>
            <w:pPr>
              <w:spacing w:line="480" w:lineRule="exact"/>
              <w:jc w:val="center"/>
              <w:rPr>
                <w:rFonts w:ascii="宋体" w:hAnsi="宋体"/>
                <w:szCs w:val="21"/>
              </w:rPr>
            </w:pPr>
          </w:p>
        </w:tc>
        <w:tc>
          <w:tcPr>
            <w:tcW w:w="505" w:type="pct"/>
            <w:noWrap w:val="0"/>
            <w:vAlign w:val="center"/>
          </w:tcPr>
          <w:p>
            <w:pPr>
              <w:spacing w:line="480" w:lineRule="exact"/>
              <w:jc w:val="center"/>
              <w:rPr>
                <w:rFonts w:ascii="宋体" w:hAnsi="宋体"/>
                <w:szCs w:val="21"/>
              </w:rPr>
            </w:pPr>
          </w:p>
        </w:tc>
        <w:tc>
          <w:tcPr>
            <w:tcW w:w="1965" w:type="pct"/>
            <w:noWrap w:val="0"/>
            <w:vAlign w:val="center"/>
          </w:tcPr>
          <w:p>
            <w:pPr>
              <w:spacing w:line="4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top"/>
          </w:tcPr>
          <w:p>
            <w:pPr>
              <w:spacing w:line="480" w:lineRule="exact"/>
              <w:rPr>
                <w:rFonts w:ascii="宋体" w:hAnsi="宋体"/>
                <w:szCs w:val="21"/>
              </w:rPr>
            </w:pPr>
          </w:p>
        </w:tc>
        <w:tc>
          <w:tcPr>
            <w:tcW w:w="562" w:type="pct"/>
            <w:noWrap w:val="0"/>
            <w:vAlign w:val="top"/>
          </w:tcPr>
          <w:p>
            <w:pPr>
              <w:spacing w:line="480" w:lineRule="exact"/>
              <w:rPr>
                <w:rFonts w:ascii="宋体" w:hAnsi="宋体"/>
                <w:szCs w:val="21"/>
              </w:rPr>
            </w:pPr>
          </w:p>
        </w:tc>
        <w:tc>
          <w:tcPr>
            <w:tcW w:w="1573" w:type="pct"/>
            <w:noWrap w:val="0"/>
            <w:vAlign w:val="top"/>
          </w:tcPr>
          <w:p>
            <w:pPr>
              <w:spacing w:line="480" w:lineRule="exact"/>
              <w:rPr>
                <w:rFonts w:ascii="宋体" w:hAnsi="宋体"/>
                <w:szCs w:val="21"/>
              </w:rPr>
            </w:pPr>
          </w:p>
        </w:tc>
        <w:tc>
          <w:tcPr>
            <w:tcW w:w="505" w:type="pct"/>
            <w:noWrap w:val="0"/>
            <w:vAlign w:val="top"/>
          </w:tcPr>
          <w:p>
            <w:pPr>
              <w:spacing w:line="480" w:lineRule="exact"/>
              <w:rPr>
                <w:rFonts w:ascii="宋体" w:hAnsi="宋体"/>
                <w:szCs w:val="21"/>
              </w:rPr>
            </w:pPr>
          </w:p>
        </w:tc>
        <w:tc>
          <w:tcPr>
            <w:tcW w:w="1965" w:type="pct"/>
            <w:noWrap w:val="0"/>
            <w:vAlign w:val="top"/>
          </w:tcPr>
          <w:p>
            <w:pPr>
              <w:spacing w:line="48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95" w:type="pct"/>
            <w:noWrap w:val="0"/>
            <w:vAlign w:val="top"/>
          </w:tcPr>
          <w:p>
            <w:pPr>
              <w:spacing w:line="480" w:lineRule="exact"/>
              <w:rPr>
                <w:rFonts w:ascii="宋体" w:hAnsi="宋体"/>
                <w:szCs w:val="21"/>
              </w:rPr>
            </w:pPr>
          </w:p>
        </w:tc>
        <w:tc>
          <w:tcPr>
            <w:tcW w:w="562" w:type="pct"/>
            <w:noWrap w:val="0"/>
            <w:vAlign w:val="top"/>
          </w:tcPr>
          <w:p>
            <w:pPr>
              <w:spacing w:line="480" w:lineRule="exact"/>
              <w:rPr>
                <w:rFonts w:ascii="宋体" w:hAnsi="宋体"/>
                <w:szCs w:val="21"/>
              </w:rPr>
            </w:pPr>
          </w:p>
        </w:tc>
        <w:tc>
          <w:tcPr>
            <w:tcW w:w="1573" w:type="pct"/>
            <w:noWrap w:val="0"/>
            <w:vAlign w:val="top"/>
          </w:tcPr>
          <w:p>
            <w:pPr>
              <w:spacing w:line="480" w:lineRule="exact"/>
              <w:rPr>
                <w:rFonts w:ascii="宋体" w:hAnsi="宋体"/>
                <w:szCs w:val="21"/>
              </w:rPr>
            </w:pPr>
          </w:p>
        </w:tc>
        <w:tc>
          <w:tcPr>
            <w:tcW w:w="505" w:type="pct"/>
            <w:noWrap w:val="0"/>
            <w:vAlign w:val="top"/>
          </w:tcPr>
          <w:p>
            <w:pPr>
              <w:spacing w:line="480" w:lineRule="exact"/>
              <w:rPr>
                <w:rFonts w:ascii="宋体" w:hAnsi="宋体"/>
                <w:szCs w:val="21"/>
              </w:rPr>
            </w:pPr>
          </w:p>
        </w:tc>
        <w:tc>
          <w:tcPr>
            <w:tcW w:w="1965" w:type="pct"/>
            <w:noWrap w:val="0"/>
            <w:vAlign w:val="top"/>
          </w:tcPr>
          <w:p>
            <w:pPr>
              <w:spacing w:line="480" w:lineRule="exact"/>
              <w:rPr>
                <w:rFonts w:ascii="宋体" w:hAnsi="宋体"/>
                <w:szCs w:val="21"/>
              </w:rPr>
            </w:pPr>
          </w:p>
        </w:tc>
      </w:tr>
    </w:tbl>
    <w:p>
      <w:pPr>
        <w:spacing w:line="360" w:lineRule="auto"/>
        <w:rPr>
          <w:rFonts w:ascii="宋体" w:hAnsi="宋体"/>
        </w:rPr>
      </w:pPr>
    </w:p>
    <w:p>
      <w:pPr>
        <w:widowControl/>
        <w:tabs>
          <w:tab w:val="left" w:pos="426"/>
          <w:tab w:val="left" w:pos="9000"/>
          <w:tab w:val="right" w:pos="9360"/>
        </w:tabs>
        <w:spacing w:line="360" w:lineRule="auto"/>
        <w:jc w:val="left"/>
        <w:outlineLvl w:val="0"/>
        <w:rPr>
          <w:rFonts w:ascii="宋体" w:hAnsi="宋体"/>
          <w:color w:val="FF0000"/>
          <w:szCs w:val="21"/>
        </w:rPr>
      </w:pPr>
      <w:r>
        <w:rPr>
          <w:rFonts w:hint="eastAsia"/>
        </w:rPr>
        <w:t>附件4拟推荐供应商名单：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727"/>
        <w:gridCol w:w="1772"/>
        <w:gridCol w:w="1773"/>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szCs w:val="21"/>
              </w:rPr>
            </w:pPr>
            <w:r>
              <w:rPr>
                <w:rFonts w:hint="eastAsia" w:ascii="宋体" w:hAnsi="宋体"/>
                <w:szCs w:val="21"/>
              </w:rPr>
              <w:t>序号</w:t>
            </w:r>
          </w:p>
        </w:tc>
        <w:tc>
          <w:tcPr>
            <w:tcW w:w="2727" w:type="dxa"/>
            <w:shd w:val="clear" w:color="auto" w:fill="auto"/>
            <w:noWrap w:val="0"/>
            <w:vAlign w:val="top"/>
          </w:tcPr>
          <w:p>
            <w:pPr>
              <w:widowControl/>
              <w:tabs>
                <w:tab w:val="left" w:pos="426"/>
                <w:tab w:val="left" w:pos="9000"/>
                <w:tab w:val="right" w:pos="9360"/>
              </w:tabs>
              <w:spacing w:line="360" w:lineRule="auto"/>
              <w:ind w:firstLine="420" w:firstLineChars="200"/>
              <w:jc w:val="left"/>
              <w:outlineLvl w:val="0"/>
              <w:rPr>
                <w:rFonts w:hint="eastAsia" w:ascii="宋体" w:hAnsi="宋体"/>
                <w:szCs w:val="21"/>
              </w:rPr>
            </w:pPr>
            <w:r>
              <w:rPr>
                <w:rFonts w:hint="eastAsia" w:ascii="宋体" w:hAnsi="宋体"/>
                <w:szCs w:val="21"/>
              </w:rPr>
              <w:t>服务商名称</w:t>
            </w:r>
          </w:p>
        </w:tc>
        <w:tc>
          <w:tcPr>
            <w:tcW w:w="1772"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szCs w:val="21"/>
              </w:rPr>
            </w:pPr>
            <w:r>
              <w:rPr>
                <w:rFonts w:hint="eastAsia" w:ascii="宋体" w:hAnsi="宋体"/>
                <w:szCs w:val="21"/>
              </w:rPr>
              <w:t>推荐理由</w:t>
            </w:r>
          </w:p>
        </w:tc>
        <w:tc>
          <w:tcPr>
            <w:tcW w:w="1773" w:type="dxa"/>
            <w:shd w:val="clear" w:color="auto" w:fill="auto"/>
            <w:noWrap w:val="0"/>
            <w:vAlign w:val="top"/>
          </w:tcPr>
          <w:p>
            <w:pPr>
              <w:rPr>
                <w:rFonts w:hint="eastAsia"/>
              </w:rPr>
            </w:pPr>
            <w:r>
              <w:rPr>
                <w:rFonts w:hint="eastAsia"/>
              </w:rPr>
              <w:t>业务联系人</w:t>
            </w:r>
          </w:p>
        </w:tc>
        <w:tc>
          <w:tcPr>
            <w:tcW w:w="1773" w:type="dxa"/>
            <w:shd w:val="clear" w:color="auto" w:fill="auto"/>
            <w:noWrap w:val="0"/>
            <w:vAlign w:val="top"/>
          </w:tcPr>
          <w:p>
            <w:r>
              <w:rPr>
                <w:rFonts w:hint="eastAsia"/>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eastAsia="宋体"/>
                <w:color w:val="000000" w:themeColor="text1"/>
                <w:szCs w:val="21"/>
                <w:lang w:val="en-US" w:eastAsia="zh-CN"/>
                <w14:textFill>
                  <w14:solidFill>
                    <w14:schemeClr w14:val="tx1"/>
                  </w14:solidFill>
                </w14:textFill>
              </w:rPr>
            </w:pPr>
          </w:p>
        </w:tc>
        <w:tc>
          <w:tcPr>
            <w:tcW w:w="2727" w:type="dxa"/>
            <w:shd w:val="clear" w:color="auto" w:fill="auto"/>
            <w:noWrap w:val="0"/>
            <w:vAlign w:val="top"/>
          </w:tcPr>
          <w:p>
            <w:pPr>
              <w:widowControl/>
              <w:tabs>
                <w:tab w:val="left" w:pos="426"/>
                <w:tab w:val="left" w:pos="9000"/>
                <w:tab w:val="right" w:pos="9360"/>
              </w:tabs>
              <w:spacing w:line="360" w:lineRule="auto"/>
              <w:jc w:val="left"/>
              <w:outlineLvl w:val="0"/>
              <w:rPr>
                <w:rFonts w:hint="default" w:ascii="宋体" w:hAnsi="宋体" w:eastAsia="宋体"/>
                <w:color w:val="000000" w:themeColor="text1"/>
                <w:szCs w:val="21"/>
                <w:lang w:val="en-US" w:eastAsia="zh-CN"/>
                <w14:textFill>
                  <w14:solidFill>
                    <w14:schemeClr w14:val="tx1"/>
                  </w14:solidFill>
                </w14:textFill>
              </w:rPr>
            </w:pPr>
          </w:p>
        </w:tc>
        <w:tc>
          <w:tcPr>
            <w:tcW w:w="1772" w:type="dxa"/>
            <w:shd w:val="clear" w:color="auto" w:fill="auto"/>
            <w:noWrap w:val="0"/>
            <w:vAlign w:val="top"/>
          </w:tcPr>
          <w:p>
            <w:pPr>
              <w:widowControl/>
              <w:tabs>
                <w:tab w:val="left" w:pos="426"/>
                <w:tab w:val="left" w:pos="9000"/>
                <w:tab w:val="right" w:pos="9360"/>
              </w:tabs>
              <w:spacing w:line="360" w:lineRule="auto"/>
              <w:jc w:val="left"/>
              <w:outlineLvl w:val="0"/>
              <w:rPr>
                <w:rFonts w:hint="default" w:ascii="宋体" w:hAnsi="宋体" w:eastAsia="宋体"/>
                <w:color w:val="000000" w:themeColor="text1"/>
                <w:szCs w:val="21"/>
                <w:lang w:val="en-US" w:eastAsia="zh-CN"/>
                <w14:textFill>
                  <w14:solidFill>
                    <w14:schemeClr w14:val="tx1"/>
                  </w14:solidFill>
                </w14:textFill>
              </w:rPr>
            </w:pPr>
          </w:p>
        </w:tc>
        <w:tc>
          <w:tcPr>
            <w:tcW w:w="1773" w:type="dxa"/>
            <w:shd w:val="clear" w:color="auto" w:fill="auto"/>
            <w:noWrap w:val="0"/>
            <w:vAlign w:val="top"/>
          </w:tcPr>
          <w:p>
            <w:pPr>
              <w:widowControl/>
              <w:tabs>
                <w:tab w:val="left" w:pos="426"/>
                <w:tab w:val="left" w:pos="9000"/>
                <w:tab w:val="right" w:pos="9360"/>
              </w:tabs>
              <w:spacing w:line="360" w:lineRule="auto"/>
              <w:jc w:val="left"/>
              <w:outlineLvl w:val="0"/>
              <w:rPr>
                <w:rFonts w:hint="default" w:ascii="宋体" w:hAnsi="宋体" w:eastAsia="宋体"/>
                <w:color w:val="000000" w:themeColor="text1"/>
                <w:szCs w:val="21"/>
                <w:lang w:val="en-US" w:eastAsia="zh-CN"/>
                <w14:textFill>
                  <w14:solidFill>
                    <w14:schemeClr w14:val="tx1"/>
                  </w14:solidFill>
                </w14:textFill>
              </w:rPr>
            </w:pPr>
          </w:p>
        </w:tc>
        <w:tc>
          <w:tcPr>
            <w:tcW w:w="1773" w:type="dxa"/>
            <w:shd w:val="clear" w:color="auto" w:fill="auto"/>
            <w:noWrap w:val="0"/>
            <w:vAlign w:val="top"/>
          </w:tcPr>
          <w:p>
            <w:pPr>
              <w:widowControl/>
              <w:tabs>
                <w:tab w:val="left" w:pos="426"/>
                <w:tab w:val="left" w:pos="9000"/>
                <w:tab w:val="right" w:pos="9360"/>
              </w:tabs>
              <w:spacing w:line="360" w:lineRule="auto"/>
              <w:jc w:val="left"/>
              <w:outlineLvl w:val="0"/>
              <w:rPr>
                <w:rFonts w:hint="default" w:ascii="宋体" w:hAnsi="宋体" w:eastAsia="宋体"/>
                <w:color w:val="000000" w:themeColor="text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17"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2727"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1772"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1773"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1773"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17"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2727"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1772"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1773"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c>
          <w:tcPr>
            <w:tcW w:w="1773" w:type="dxa"/>
            <w:shd w:val="clear" w:color="auto" w:fill="auto"/>
            <w:noWrap w:val="0"/>
            <w:vAlign w:val="top"/>
          </w:tcPr>
          <w:p>
            <w:pPr>
              <w:widowControl/>
              <w:tabs>
                <w:tab w:val="left" w:pos="426"/>
                <w:tab w:val="left" w:pos="9000"/>
                <w:tab w:val="right" w:pos="9360"/>
              </w:tabs>
              <w:spacing w:line="360" w:lineRule="auto"/>
              <w:jc w:val="left"/>
              <w:outlineLvl w:val="0"/>
              <w:rPr>
                <w:rFonts w:hint="eastAsia" w:ascii="宋体" w:hAnsi="宋体"/>
                <w:color w:val="FF0000"/>
                <w:szCs w:val="21"/>
              </w:rPr>
            </w:pPr>
          </w:p>
        </w:tc>
      </w:tr>
    </w:tbl>
    <w:p>
      <w:pPr>
        <w:widowControl/>
        <w:tabs>
          <w:tab w:val="left" w:pos="426"/>
          <w:tab w:val="left" w:pos="9000"/>
          <w:tab w:val="right" w:pos="9360"/>
        </w:tabs>
        <w:spacing w:line="360" w:lineRule="auto"/>
        <w:jc w:val="left"/>
        <w:outlineLvl w:val="0"/>
        <w:rPr>
          <w:rFonts w:hint="eastAsia" w:ascii="宋体" w:hAnsi="宋体"/>
          <w:color w:val="FF0000"/>
          <w:szCs w:val="21"/>
        </w:rPr>
      </w:pPr>
    </w:p>
    <w:p/>
    <w:sectPr>
      <w:footerReference r:id="rId6" w:type="default"/>
      <w:pgSz w:w="11906" w:h="16838"/>
      <w:pgMar w:top="1440" w:right="1559" w:bottom="936" w:left="1701" w:header="851" w:footer="567" w:gutter="0"/>
      <w:pgNumType w:start="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eastAsia="zh-CN"/>
      </w:rPr>
      <w:t>1</w: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left"/>
      <w:rPr>
        <w:rFonts w:hint="eastAsia"/>
        <w:lang w:eastAsia="zh-CN"/>
      </w:rPr>
    </w:pPr>
    <w:r>
      <w:rPr>
        <w:rFonts w:hint="eastAsia"/>
        <w:lang w:eastAsia="zh-CN"/>
      </w:rPr>
      <w:t>湖北大峪口化工有限责任公司                                                         技术文件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rPr>
    </w:pPr>
    <w:r>
      <w:rPr>
        <w:rFonts w:hint="eastAsia"/>
      </w:rPr>
      <w:t>中海石油化学股份有限公司                                            XXXX项目技术询价文件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4C1CFF"/>
    <w:multiLevelType w:val="multilevel"/>
    <w:tmpl w:val="164C1CFF"/>
    <w:lvl w:ilvl="0" w:tentative="0">
      <w:start w:val="1"/>
      <w:numFmt w:val="decimal"/>
      <w:lvlText w:val="2.%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6754CC4"/>
    <w:multiLevelType w:val="multilevel"/>
    <w:tmpl w:val="16754CC4"/>
    <w:lvl w:ilvl="0" w:tentative="0">
      <w:start w:val="1"/>
      <w:numFmt w:val="decimal"/>
      <w:lvlText w:val="4.5.%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74F7852"/>
    <w:multiLevelType w:val="multilevel"/>
    <w:tmpl w:val="174F7852"/>
    <w:lvl w:ilvl="0" w:tentative="0">
      <w:start w:val="1"/>
      <w:numFmt w:val="decimal"/>
      <w:lvlText w:val="8.%1"/>
      <w:lvlJc w:val="left"/>
      <w:pPr>
        <w:ind w:left="420" w:hanging="420"/>
      </w:pPr>
      <w:rPr>
        <w:rFonts w:hint="default" w:ascii="宋体" w:hAnsi="宋体" w:eastAsia="宋体"/>
        <w:b w:val="0"/>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76A4C48"/>
    <w:multiLevelType w:val="multilevel"/>
    <w:tmpl w:val="276A4C48"/>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9C10A17"/>
    <w:multiLevelType w:val="multilevel"/>
    <w:tmpl w:val="29C10A17"/>
    <w:lvl w:ilvl="0" w:tentative="0">
      <w:start w:val="1"/>
      <w:numFmt w:val="decimal"/>
      <w:lvlText w:val="3.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9D31C39"/>
    <w:multiLevelType w:val="multilevel"/>
    <w:tmpl w:val="39D31C39"/>
    <w:lvl w:ilvl="0" w:tentative="0">
      <w:start w:val="1"/>
      <w:numFmt w:val="decimal"/>
      <w:lvlText w:val="1.%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D511682"/>
    <w:multiLevelType w:val="multilevel"/>
    <w:tmpl w:val="3D511682"/>
    <w:lvl w:ilvl="0" w:tentative="0">
      <w:start w:val="1"/>
      <w:numFmt w:val="decimal"/>
      <w:lvlText w:val="%1 "/>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E0D1E73"/>
    <w:multiLevelType w:val="multilevel"/>
    <w:tmpl w:val="4E0D1E73"/>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3.2.%3"/>
      <w:lvlJc w:val="left"/>
      <w:pPr>
        <w:ind w:left="0" w:firstLine="0"/>
      </w:pPr>
      <w:rPr>
        <w:rFonts w:hint="default"/>
        <w:color w:val="000000" w:themeColor="text1"/>
        <w14:textFill>
          <w14:solidFill>
            <w14:schemeClr w14:val="tx1"/>
          </w14:solidFill>
        </w14:textFill>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558B0CCD"/>
    <w:multiLevelType w:val="multilevel"/>
    <w:tmpl w:val="558B0CCD"/>
    <w:lvl w:ilvl="0" w:tentative="0">
      <w:start w:val="1"/>
      <w:numFmt w:val="decimal"/>
      <w:lvlText w:val="4.%1"/>
      <w:lvlJc w:val="left"/>
      <w:pPr>
        <w:ind w:left="420" w:hanging="420"/>
      </w:pPr>
      <w:rPr>
        <w:rFonts w:hint="eastAsia" w:ascii="宋体" w:hAnsi="宋体" w:eastAsia="宋体"/>
        <w:b/>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5"/>
  </w:num>
  <w:num w:numId="3">
    <w:abstractNumId w:val="0"/>
  </w:num>
  <w:num w:numId="4">
    <w:abstractNumId w:val="3"/>
  </w:num>
  <w:num w:numId="5">
    <w:abstractNumId w:val="4"/>
  </w:num>
  <w:num w:numId="6">
    <w:abstractNumId w:val="7"/>
  </w:num>
  <w:num w:numId="7">
    <w:abstractNumId w:val="8"/>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RiMWRiYjg0YzQ2ZGQxZDAxZGNmYjRlZTk0NTUxODgifQ=="/>
  </w:docVars>
  <w:rsids>
    <w:rsidRoot w:val="00000000"/>
    <w:rsid w:val="001B1E76"/>
    <w:rsid w:val="01283E7A"/>
    <w:rsid w:val="01E65CA9"/>
    <w:rsid w:val="0298354F"/>
    <w:rsid w:val="0428244D"/>
    <w:rsid w:val="05D20F75"/>
    <w:rsid w:val="05F70EFD"/>
    <w:rsid w:val="06A50E96"/>
    <w:rsid w:val="07F341CA"/>
    <w:rsid w:val="09A43E92"/>
    <w:rsid w:val="0A073F5D"/>
    <w:rsid w:val="0AD8047A"/>
    <w:rsid w:val="0C144909"/>
    <w:rsid w:val="0C5B62FA"/>
    <w:rsid w:val="0CC77BB2"/>
    <w:rsid w:val="0CE7033B"/>
    <w:rsid w:val="0E2444C0"/>
    <w:rsid w:val="0E4449F4"/>
    <w:rsid w:val="0E7A1F74"/>
    <w:rsid w:val="0F386586"/>
    <w:rsid w:val="0F784779"/>
    <w:rsid w:val="0FE943D3"/>
    <w:rsid w:val="0FF7021A"/>
    <w:rsid w:val="10423269"/>
    <w:rsid w:val="111568DA"/>
    <w:rsid w:val="12E72163"/>
    <w:rsid w:val="14A80208"/>
    <w:rsid w:val="14B06C5C"/>
    <w:rsid w:val="15524B87"/>
    <w:rsid w:val="15A0511E"/>
    <w:rsid w:val="1A5704CA"/>
    <w:rsid w:val="1A6E4B9E"/>
    <w:rsid w:val="1B2A5543"/>
    <w:rsid w:val="1FDE46C8"/>
    <w:rsid w:val="200B2E08"/>
    <w:rsid w:val="218B501C"/>
    <w:rsid w:val="257D0893"/>
    <w:rsid w:val="268C67E4"/>
    <w:rsid w:val="275F0F1E"/>
    <w:rsid w:val="27E85E4D"/>
    <w:rsid w:val="290535C4"/>
    <w:rsid w:val="29AD26F1"/>
    <w:rsid w:val="2C5D303F"/>
    <w:rsid w:val="2F336C99"/>
    <w:rsid w:val="317D6B9F"/>
    <w:rsid w:val="337D4D8F"/>
    <w:rsid w:val="36763CE6"/>
    <w:rsid w:val="38635CEB"/>
    <w:rsid w:val="393E44F9"/>
    <w:rsid w:val="3996298A"/>
    <w:rsid w:val="3A8722D6"/>
    <w:rsid w:val="3C0D7DEF"/>
    <w:rsid w:val="3C9E7D08"/>
    <w:rsid w:val="3E692C7C"/>
    <w:rsid w:val="3F3239B8"/>
    <w:rsid w:val="407C5CC7"/>
    <w:rsid w:val="444B0DC5"/>
    <w:rsid w:val="451F12DE"/>
    <w:rsid w:val="46C929B2"/>
    <w:rsid w:val="4777579C"/>
    <w:rsid w:val="48F6749C"/>
    <w:rsid w:val="4A545481"/>
    <w:rsid w:val="4B551A11"/>
    <w:rsid w:val="4D210A97"/>
    <w:rsid w:val="4E991562"/>
    <w:rsid w:val="4EC965B4"/>
    <w:rsid w:val="5265033A"/>
    <w:rsid w:val="528A25E6"/>
    <w:rsid w:val="52CA5AE0"/>
    <w:rsid w:val="53C96FBE"/>
    <w:rsid w:val="567B06E0"/>
    <w:rsid w:val="5B173696"/>
    <w:rsid w:val="5DD611F8"/>
    <w:rsid w:val="5DEA0F12"/>
    <w:rsid w:val="5E8E77BD"/>
    <w:rsid w:val="5F9C64B7"/>
    <w:rsid w:val="5FA9791E"/>
    <w:rsid w:val="5FC301AD"/>
    <w:rsid w:val="61011E17"/>
    <w:rsid w:val="62086ABF"/>
    <w:rsid w:val="621C3904"/>
    <w:rsid w:val="62993F1E"/>
    <w:rsid w:val="62C348E7"/>
    <w:rsid w:val="63411052"/>
    <w:rsid w:val="63C510B5"/>
    <w:rsid w:val="64CA0F84"/>
    <w:rsid w:val="65E90D3A"/>
    <w:rsid w:val="688E7707"/>
    <w:rsid w:val="699F3DAF"/>
    <w:rsid w:val="6AAE7116"/>
    <w:rsid w:val="6F555E8B"/>
    <w:rsid w:val="6F587347"/>
    <w:rsid w:val="6FBF1D33"/>
    <w:rsid w:val="6FEE055B"/>
    <w:rsid w:val="7134574F"/>
    <w:rsid w:val="71F506FD"/>
    <w:rsid w:val="7266537A"/>
    <w:rsid w:val="738C623B"/>
    <w:rsid w:val="74D245A1"/>
    <w:rsid w:val="77D00ABE"/>
    <w:rsid w:val="781D5394"/>
    <w:rsid w:val="78DE53BA"/>
    <w:rsid w:val="79B51C4A"/>
    <w:rsid w:val="7AF843A9"/>
    <w:rsid w:val="7C7B2E38"/>
    <w:rsid w:val="7EB71031"/>
    <w:rsid w:val="7FE01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jc w:val="left"/>
      <w:outlineLvl w:val="1"/>
    </w:pPr>
    <w:rPr>
      <w:rFonts w:ascii="Arial" w:hAnsi="Arial"/>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right" w:leader="dot" w:pos="8637"/>
      </w:tabs>
      <w:spacing w:before="120" w:after="120" w:line="360" w:lineRule="auto"/>
      <w:jc w:val="left"/>
    </w:pPr>
    <w:rPr>
      <w:rFonts w:ascii="Calibri" w:hAnsi="Calibri" w:cs="Calibri"/>
      <w:b/>
      <w:bCs/>
      <w:caps/>
      <w:sz w:val="20"/>
      <w:szCs w:val="20"/>
    </w:rPr>
  </w:style>
  <w:style w:type="paragraph" w:styleId="7">
    <w:name w:val="Body Text 2"/>
    <w:basedOn w:val="1"/>
    <w:qFormat/>
    <w:uiPriority w:val="0"/>
    <w:pPr>
      <w:spacing w:line="360" w:lineRule="auto"/>
    </w:pPr>
    <w:rPr>
      <w:sz w:val="2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Emphasis"/>
    <w:basedOn w:val="10"/>
    <w:qFormat/>
    <w:uiPriority w:val="0"/>
    <w:rPr>
      <w:i/>
    </w:rPr>
  </w:style>
  <w:style w:type="character" w:styleId="13">
    <w:name w:val="Hyperlink"/>
    <w:qFormat/>
    <w:uiPriority w:val="99"/>
    <w:rPr>
      <w:color w:val="0000FF"/>
      <w:u w:val="single"/>
    </w:rPr>
  </w:style>
  <w:style w:type="paragraph" w:customStyle="1" w:styleId="14">
    <w:name w:val="toa"/>
    <w:basedOn w:val="1"/>
    <w:qFormat/>
    <w:uiPriority w:val="0"/>
    <w:pPr>
      <w:widowControl/>
      <w:tabs>
        <w:tab w:val="left" w:pos="9000"/>
        <w:tab w:val="right" w:pos="9360"/>
      </w:tabs>
      <w:suppressAutoHyphens/>
      <w:jc w:val="left"/>
    </w:pPr>
    <w:rPr>
      <w:rFonts w:ascii="Arial" w:hAnsi="Arial"/>
      <w:kern w:val="0"/>
      <w:sz w:val="24"/>
      <w:szCs w:val="20"/>
    </w:rPr>
  </w:style>
  <w:style w:type="character" w:customStyle="1" w:styleId="15">
    <w:name w:val="fontstyle01"/>
    <w:qFormat/>
    <w:uiPriority w:val="0"/>
    <w:rPr>
      <w:rFonts w:hint="eastAsia" w:ascii="宋体" w:hAnsi="宋体" w:eastAsia="宋体"/>
      <w:color w:val="000000"/>
      <w:sz w:val="24"/>
      <w:szCs w:val="24"/>
    </w:rPr>
  </w:style>
  <w:style w:type="paragraph" w:customStyle="1" w:styleId="16">
    <w:name w:val="样式1"/>
    <w:basedOn w:val="14"/>
    <w:qFormat/>
    <w:uiPriority w:val="0"/>
    <w:pPr>
      <w:tabs>
        <w:tab w:val="left" w:pos="426"/>
      </w:tabs>
      <w:suppressAutoHyphens w:val="0"/>
      <w:spacing w:line="360" w:lineRule="auto"/>
      <w:outlineLvl w:val="0"/>
    </w:pPr>
    <w:rPr>
      <w:rFonts w:ascii="宋体" w:hAnsi="宋体"/>
      <w:b/>
      <w:bCs/>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2784</Words>
  <Characters>2917</Characters>
  <Lines>0</Lines>
  <Paragraphs>0</Paragraphs>
  <TotalTime>97</TotalTime>
  <ScaleCrop>false</ScaleCrop>
  <LinksUpToDate>false</LinksUpToDate>
  <CharactersWithSpaces>3023</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2022-01-18T02:31:00Z</dcterms:created>
  <dc:creator>huozhq</dc:creator>
  <cp:lastModifiedBy>徐远江</cp:lastModifiedBy>
  <cp:lastPrinted>2026-08-27T07:00:00Z</cp:lastPrinted>
  <dcterms:modified xsi:type="dcterms:W3CDTF">2026-09-17T06:41:52Z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A4F330C8CC60458E9E369D3245EE0F83</vt:lpwstr>
  </property>
  <property fmtid="{D5CDD505-2E9C-101B-9397-08002B2CF9AE}" pid="4" name="KSOTemplateDocerSaveRecord">
    <vt:lpwstr>eyJoZGlkIjoiYmRiMWRiYjg0YzQ2ZGQxZDAxZGNmYjRlZTk0NTUxODgiLCJ1c2VySWQiOiI5NTkzNjI3NDUifQ==</vt:lpwstr>
  </property>
</Properties>
</file>