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autoSpaceDE w:val="0"/>
        <w:autoSpaceDN w:val="0"/>
        <w:spacing w:before="120" w:after="120"/>
        <w:ind w:right="-20"/>
        <w:jc w:val="center"/>
        <w:rPr>
          <w:rFonts w:hint="eastAsia" w:ascii="宋体" w:hAnsi="宋体" w:eastAsia="宋体" w:cs="宋体"/>
          <w:b/>
          <w:color w:val="auto"/>
          <w:spacing w:val="2"/>
          <w:w w:val="99"/>
          <w:sz w:val="52"/>
          <w:szCs w:val="52"/>
          <w:highlight w:val="none"/>
        </w:rPr>
      </w:pPr>
      <w:bookmarkStart w:id="0" w:name="_Toc13249325"/>
      <w:bookmarkStart w:id="1" w:name="_Toc13248928"/>
      <w:r>
        <w:rPr>
          <w:rFonts w:hint="eastAsia" w:ascii="宋体" w:hAnsi="宋体" w:eastAsia="宋体" w:cs="宋体"/>
          <w:b/>
          <w:color w:val="auto"/>
          <w:spacing w:val="2"/>
          <w:w w:val="99"/>
          <w:sz w:val="52"/>
          <w:szCs w:val="52"/>
          <w:highlight w:val="none"/>
          <w:lang w:eastAsia="zh-CN"/>
        </w:rPr>
        <w:drawing>
          <wp:anchor distT="0" distB="0" distL="114300" distR="114300" simplePos="0" relativeHeight="251660288"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shd w:val="clear"/>
        <w:autoSpaceDE w:val="0"/>
        <w:autoSpaceDN w:val="0"/>
        <w:spacing w:before="120" w:after="120"/>
        <w:ind w:right="-20"/>
        <w:jc w:val="center"/>
        <w:rPr>
          <w:rFonts w:hint="eastAsia" w:ascii="宋体" w:hAnsi="宋体" w:eastAsia="宋体" w:cs="宋体"/>
          <w:b/>
          <w:color w:val="auto"/>
          <w:spacing w:val="2"/>
          <w:w w:val="99"/>
          <w:sz w:val="52"/>
          <w:szCs w:val="52"/>
          <w:highlight w:val="none"/>
        </w:rPr>
      </w:pPr>
    </w:p>
    <w:p>
      <w:pPr>
        <w:shd w:val="clear"/>
        <w:autoSpaceDE w:val="0"/>
        <w:autoSpaceDN w:val="0"/>
        <w:spacing w:before="120" w:after="120"/>
        <w:ind w:right="-20"/>
        <w:jc w:val="center"/>
        <w:rPr>
          <w:rFonts w:hint="eastAsia" w:ascii="宋体" w:hAnsi="宋体" w:eastAsia="宋体" w:cs="宋体"/>
          <w:b/>
          <w:color w:val="auto"/>
          <w:spacing w:val="2"/>
          <w:w w:val="99"/>
          <w:sz w:val="52"/>
          <w:szCs w:val="52"/>
          <w:highlight w:val="none"/>
        </w:rPr>
      </w:pPr>
    </w:p>
    <w:p>
      <w:pPr>
        <w:shd w:val="clear"/>
        <w:jc w:val="center"/>
        <w:rPr>
          <w:rFonts w:hint="eastAsia" w:ascii="宋体" w:hAnsi="宋体" w:eastAsia="宋体" w:cs="宋体"/>
          <w:color w:val="auto"/>
          <w:spacing w:val="2"/>
          <w:w w:val="99"/>
          <w:sz w:val="52"/>
          <w:szCs w:val="52"/>
          <w:highlight w:val="none"/>
          <w:lang w:eastAsia="zh-CN"/>
        </w:rPr>
      </w:pPr>
      <w:r>
        <w:rPr>
          <w:rFonts w:hint="eastAsia" w:ascii="宋体" w:hAnsi="宋体" w:eastAsia="宋体" w:cs="宋体"/>
          <w:color w:val="auto"/>
          <w:spacing w:val="2"/>
          <w:w w:val="99"/>
          <w:sz w:val="52"/>
          <w:szCs w:val="52"/>
          <w:highlight w:val="none"/>
          <w:lang w:eastAsia="zh-CN"/>
        </w:rPr>
        <w:t>中海油能源发展股份有限公司</w:t>
      </w:r>
    </w:p>
    <w:p>
      <w:pPr>
        <w:shd w:val="clear"/>
        <w:jc w:val="center"/>
        <w:rPr>
          <w:rFonts w:hint="eastAsia" w:ascii="宋体" w:hAnsi="宋体" w:eastAsia="宋体" w:cs="宋体"/>
          <w:b/>
          <w:color w:val="auto"/>
          <w:spacing w:val="2"/>
          <w:w w:val="99"/>
          <w:sz w:val="52"/>
          <w:szCs w:val="52"/>
          <w:highlight w:val="none"/>
          <w:lang w:eastAsia="zh-CN"/>
        </w:rPr>
      </w:pPr>
    </w:p>
    <w:p>
      <w:pPr>
        <w:keepNext w:val="0"/>
        <w:keepLines w:val="0"/>
        <w:pageBreakBefore w:val="0"/>
        <w:widowControl w:val="0"/>
        <w:shd w:val="clear"/>
        <w:kinsoku/>
        <w:wordWrap/>
        <w:overflowPunct/>
        <w:topLinePunct w:val="0"/>
        <w:autoSpaceDE/>
        <w:autoSpaceDN/>
        <w:bidi w:val="0"/>
        <w:adjustRightInd/>
        <w:snapToGrid/>
        <w:spacing w:line="480" w:lineRule="auto"/>
        <w:jc w:val="center"/>
        <w:textAlignment w:val="auto"/>
        <w:rPr>
          <w:rFonts w:hint="eastAsia" w:ascii="宋体" w:hAnsi="宋体" w:eastAsia="宋体" w:cs="宋体"/>
          <w:color w:val="auto"/>
          <w:spacing w:val="2"/>
          <w:w w:val="99"/>
          <w:sz w:val="52"/>
          <w:szCs w:val="52"/>
          <w:highlight w:val="none"/>
          <w:u w:val="single"/>
          <w:lang w:eastAsia="zh-CN"/>
        </w:rPr>
      </w:pPr>
      <w:r>
        <w:rPr>
          <w:rFonts w:hint="eastAsia" w:ascii="宋体" w:hAnsi="宋体" w:eastAsia="宋体" w:cs="宋体"/>
          <w:color w:val="auto"/>
          <w:spacing w:val="2"/>
          <w:w w:val="99"/>
          <w:sz w:val="52"/>
          <w:szCs w:val="52"/>
          <w:highlight w:val="none"/>
          <w:u w:val="single"/>
          <w:lang w:eastAsia="zh-CN"/>
        </w:rPr>
        <w:t>锦州20-2天然气分离厂迁建智能化项目流程仿真技术服务</w:t>
      </w:r>
    </w:p>
    <w:p>
      <w:pPr>
        <w:keepNext w:val="0"/>
        <w:keepLines w:val="0"/>
        <w:pageBreakBefore w:val="0"/>
        <w:widowControl w:val="0"/>
        <w:shd w:val="clear"/>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pacing w:val="2"/>
          <w:w w:val="99"/>
          <w:sz w:val="52"/>
          <w:szCs w:val="52"/>
          <w:highlight w:val="none"/>
          <w:lang w:eastAsia="zh-CN"/>
        </w:rPr>
      </w:pPr>
      <w:r>
        <w:rPr>
          <w:rFonts w:hint="eastAsia" w:ascii="宋体" w:hAnsi="宋体" w:eastAsia="宋体" w:cs="宋体"/>
          <w:b/>
          <w:color w:val="auto"/>
          <w:spacing w:val="2"/>
          <w:w w:val="99"/>
          <w:sz w:val="52"/>
          <w:szCs w:val="52"/>
          <w:highlight w:val="none"/>
          <w:lang w:eastAsia="zh-CN"/>
        </w:rPr>
        <w:t>采购技术要求书</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3" w:firstLine="640" w:firstLineChars="200"/>
        <w:textAlignment w:val="auto"/>
        <w:rPr>
          <w:rFonts w:hint="eastAsia" w:ascii="宋体" w:hAnsi="宋体" w:eastAsia="宋体" w:cs="宋体"/>
          <w:color w:val="auto"/>
          <w:spacing w:val="2"/>
          <w:w w:val="99"/>
          <w:sz w:val="32"/>
          <w:szCs w:val="32"/>
          <w:highlight w:val="none"/>
          <w:lang w:val="en-US" w:eastAsia="zh-CN"/>
        </w:rPr>
      </w:pPr>
      <w:r>
        <w:rPr>
          <w:rFonts w:hint="eastAsia" w:ascii="宋体" w:hAnsi="宋体" w:eastAsia="宋体" w:cs="宋体"/>
          <w:color w:val="auto"/>
          <w:spacing w:val="2"/>
          <w:w w:val="99"/>
          <w:sz w:val="32"/>
          <w:szCs w:val="32"/>
          <w:highlight w:val="none"/>
          <w:lang w:val="en-US" w:eastAsia="zh-CN"/>
        </w:rPr>
        <w:t>引用技术标准编号：GB/T 44122-2024</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0"/>
        <w:textAlignment w:val="auto"/>
        <w:rPr>
          <w:rFonts w:hint="eastAsia" w:ascii="宋体" w:hAnsi="宋体" w:eastAsia="宋体" w:cs="宋体"/>
          <w:color w:val="auto"/>
          <w:spacing w:val="2"/>
          <w:w w:val="99"/>
          <w:sz w:val="32"/>
          <w:szCs w:val="32"/>
          <w:highlight w:val="none"/>
          <w:lang w:eastAsia="zh-CN"/>
        </w:rPr>
      </w:pPr>
      <w:r>
        <w:rPr>
          <w:rFonts w:hint="eastAsia" w:ascii="宋体" w:hAnsi="宋体" w:eastAsia="宋体" w:cs="宋体"/>
          <w:color w:val="auto"/>
          <w:spacing w:val="2"/>
          <w:w w:val="99"/>
          <w:sz w:val="32"/>
          <w:szCs w:val="32"/>
          <w:highlight w:val="none"/>
          <w:lang w:eastAsia="zh-CN"/>
        </w:rPr>
        <w:t xml:space="preserve">    编</w:t>
      </w:r>
      <w:r>
        <w:rPr>
          <w:rFonts w:hint="eastAsia" w:ascii="宋体" w:hAnsi="宋体" w:eastAsia="宋体" w:cs="宋体"/>
          <w:color w:val="auto"/>
          <w:spacing w:val="2"/>
          <w:w w:val="99"/>
          <w:sz w:val="32"/>
          <w:szCs w:val="32"/>
          <w:highlight w:val="none"/>
          <w:lang w:val="en-US" w:eastAsia="zh-CN"/>
        </w:rPr>
        <w:t xml:space="preserve">  </w:t>
      </w:r>
      <w:r>
        <w:rPr>
          <w:rFonts w:hint="eastAsia" w:ascii="宋体" w:hAnsi="宋体" w:eastAsia="宋体" w:cs="宋体"/>
          <w:color w:val="auto"/>
          <w:spacing w:val="2"/>
          <w:w w:val="99"/>
          <w:sz w:val="32"/>
          <w:szCs w:val="32"/>
          <w:highlight w:val="none"/>
          <w:lang w:eastAsia="zh-CN"/>
        </w:rPr>
        <w:t>制</w:t>
      </w:r>
      <w:r>
        <w:rPr>
          <w:rFonts w:hint="eastAsia" w:ascii="宋体" w:hAnsi="宋体" w:eastAsia="宋体" w:cs="宋体"/>
          <w:color w:val="auto"/>
          <w:spacing w:val="2"/>
          <w:w w:val="99"/>
          <w:sz w:val="32"/>
          <w:szCs w:val="32"/>
          <w:highlight w:val="none"/>
          <w:lang w:val="en-US" w:eastAsia="zh-CN"/>
        </w:rPr>
        <w:t xml:space="preserve">  人</w:t>
      </w:r>
      <w:r>
        <w:rPr>
          <w:rFonts w:hint="eastAsia" w:ascii="宋体" w:hAnsi="宋体" w:eastAsia="宋体" w:cs="宋体"/>
          <w:color w:val="auto"/>
          <w:spacing w:val="2"/>
          <w:w w:val="99"/>
          <w:sz w:val="32"/>
          <w:szCs w:val="32"/>
          <w:highlight w:val="none"/>
          <w:lang w:eastAsia="zh-CN"/>
        </w:rPr>
        <w:t>：</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u w:val="single"/>
          <w:lang w:val="en-US" w:eastAsia="zh-CN"/>
        </w:rPr>
        <w:t xml:space="preserve">        </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lang w:eastAsia="zh-CN"/>
        </w:rPr>
        <w:t xml:space="preserve">       </w:t>
      </w:r>
      <w:r>
        <w:rPr>
          <w:rFonts w:hint="eastAsia" w:ascii="宋体" w:hAnsi="宋体" w:eastAsia="宋体" w:cs="宋体"/>
          <w:color w:val="auto"/>
          <w:spacing w:val="2"/>
          <w:w w:val="99"/>
          <w:sz w:val="32"/>
          <w:szCs w:val="32"/>
          <w:highlight w:val="none"/>
          <w:lang w:val="en-US" w:eastAsia="zh-CN"/>
        </w:rPr>
        <w:t xml:space="preserve">          </w:t>
      </w:r>
      <w:r>
        <w:rPr>
          <w:rFonts w:hint="eastAsia" w:ascii="宋体" w:hAnsi="宋体" w:eastAsia="宋体" w:cs="宋体"/>
          <w:color w:val="auto"/>
          <w:spacing w:val="2"/>
          <w:w w:val="99"/>
          <w:sz w:val="32"/>
          <w:szCs w:val="32"/>
          <w:highlight w:val="none"/>
          <w:lang w:eastAsia="zh-CN"/>
        </w:rPr>
        <w:t xml:space="preserve">      </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0"/>
        <w:textAlignment w:val="auto"/>
        <w:rPr>
          <w:rFonts w:hint="eastAsia" w:ascii="宋体" w:hAnsi="宋体" w:eastAsia="宋体" w:cs="宋体"/>
          <w:color w:val="auto"/>
          <w:spacing w:val="2"/>
          <w:w w:val="99"/>
          <w:sz w:val="32"/>
          <w:szCs w:val="32"/>
          <w:highlight w:val="none"/>
          <w:lang w:eastAsia="zh-CN"/>
        </w:rPr>
      </w:pPr>
      <w:r>
        <w:rPr>
          <w:rFonts w:hint="eastAsia" w:ascii="宋体" w:hAnsi="宋体" w:eastAsia="宋体" w:cs="宋体"/>
          <w:color w:val="auto"/>
          <w:spacing w:val="2"/>
          <w:w w:val="99"/>
          <w:sz w:val="32"/>
          <w:szCs w:val="32"/>
          <w:highlight w:val="none"/>
          <w:lang w:eastAsia="zh-CN"/>
        </w:rPr>
        <w:t xml:space="preserve">    </w:t>
      </w:r>
      <w:r>
        <w:rPr>
          <w:rFonts w:hint="eastAsia" w:ascii="宋体" w:hAnsi="宋体" w:eastAsia="宋体" w:cs="宋体"/>
          <w:color w:val="auto"/>
          <w:spacing w:val="2"/>
          <w:w w:val="99"/>
          <w:sz w:val="32"/>
          <w:szCs w:val="32"/>
          <w:highlight w:val="none"/>
          <w:lang w:val="en-US" w:eastAsia="zh-CN"/>
        </w:rPr>
        <w:t>作业部经理</w:t>
      </w:r>
      <w:r>
        <w:rPr>
          <w:rFonts w:hint="eastAsia" w:ascii="宋体" w:hAnsi="宋体" w:eastAsia="宋体" w:cs="宋体"/>
          <w:color w:val="auto"/>
          <w:spacing w:val="2"/>
          <w:w w:val="99"/>
          <w:sz w:val="32"/>
          <w:szCs w:val="32"/>
          <w:highlight w:val="none"/>
          <w:lang w:eastAsia="zh-CN"/>
        </w:rPr>
        <w:t>：</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u w:val="single"/>
          <w:lang w:val="en-US" w:eastAsia="zh-CN"/>
        </w:rPr>
        <w:t xml:space="preserve">        </w:t>
      </w:r>
      <w:r>
        <w:rPr>
          <w:rFonts w:hint="eastAsia" w:ascii="宋体" w:hAnsi="宋体" w:eastAsia="宋体" w:cs="宋体"/>
          <w:color w:val="auto"/>
          <w:spacing w:val="2"/>
          <w:w w:val="99"/>
          <w:sz w:val="32"/>
          <w:szCs w:val="32"/>
          <w:highlight w:val="none"/>
          <w:u w:val="single"/>
          <w:lang w:eastAsia="zh-CN"/>
        </w:rPr>
        <w:t xml:space="preserve">    </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0"/>
        <w:textAlignment w:val="auto"/>
        <w:rPr>
          <w:rFonts w:hint="eastAsia" w:ascii="宋体" w:hAnsi="宋体" w:eastAsia="宋体" w:cs="宋体"/>
          <w:color w:val="auto"/>
          <w:spacing w:val="2"/>
          <w:w w:val="99"/>
          <w:sz w:val="32"/>
          <w:szCs w:val="32"/>
          <w:highlight w:val="none"/>
          <w:lang w:eastAsia="zh-CN"/>
        </w:rPr>
      </w:pPr>
      <w:r>
        <w:rPr>
          <w:rFonts w:hint="eastAsia" w:ascii="宋体" w:hAnsi="宋体" w:eastAsia="宋体" w:cs="宋体"/>
          <w:color w:val="auto"/>
          <w:spacing w:val="2"/>
          <w:w w:val="99"/>
          <w:sz w:val="32"/>
          <w:szCs w:val="32"/>
          <w:highlight w:val="none"/>
          <w:lang w:eastAsia="zh-CN"/>
        </w:rPr>
        <w:t xml:space="preserve">    </w:t>
      </w:r>
      <w:r>
        <w:rPr>
          <w:rFonts w:hint="eastAsia" w:ascii="宋体" w:hAnsi="宋体" w:eastAsia="宋体" w:cs="宋体"/>
          <w:color w:val="auto"/>
          <w:spacing w:val="2"/>
          <w:w w:val="99"/>
          <w:sz w:val="32"/>
          <w:szCs w:val="32"/>
          <w:highlight w:val="none"/>
          <w:lang w:val="en-US" w:eastAsia="zh-CN"/>
        </w:rPr>
        <w:t>技术中心经理</w:t>
      </w:r>
      <w:r>
        <w:rPr>
          <w:rFonts w:hint="eastAsia" w:ascii="宋体" w:hAnsi="宋体" w:eastAsia="宋体" w:cs="宋体"/>
          <w:color w:val="auto"/>
          <w:spacing w:val="2"/>
          <w:w w:val="99"/>
          <w:sz w:val="32"/>
          <w:szCs w:val="32"/>
          <w:highlight w:val="none"/>
          <w:lang w:eastAsia="zh-CN"/>
        </w:rPr>
        <w:t>：</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u w:val="single"/>
          <w:lang w:val="en-US" w:eastAsia="zh-CN"/>
        </w:rPr>
        <w:t xml:space="preserve">      </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lang w:eastAsia="zh-CN"/>
        </w:rPr>
        <w:t xml:space="preserve"> </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3" w:firstLine="640" w:firstLineChars="200"/>
        <w:textAlignment w:val="auto"/>
        <w:rPr>
          <w:rFonts w:hint="eastAsia" w:ascii="宋体" w:hAnsi="宋体" w:eastAsia="宋体" w:cs="宋体"/>
          <w:color w:val="auto"/>
          <w:spacing w:val="2"/>
          <w:w w:val="99"/>
          <w:sz w:val="36"/>
          <w:szCs w:val="36"/>
          <w:highlight w:val="none"/>
          <w:lang w:eastAsia="zh-CN"/>
        </w:rPr>
      </w:pPr>
      <w:r>
        <w:rPr>
          <w:rFonts w:hint="eastAsia" w:ascii="宋体" w:hAnsi="宋体" w:eastAsia="宋体" w:cs="宋体"/>
          <w:color w:val="auto"/>
          <w:spacing w:val="2"/>
          <w:w w:val="99"/>
          <w:sz w:val="32"/>
          <w:szCs w:val="32"/>
          <w:highlight w:val="none"/>
          <w:lang w:val="en-US" w:eastAsia="zh-CN"/>
        </w:rPr>
        <w:t>总工/技术主管领导：</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u w:val="single"/>
          <w:lang w:val="en-US" w:eastAsia="zh-CN"/>
        </w:rPr>
        <w:t xml:space="preserve">      </w:t>
      </w:r>
      <w:r>
        <w:rPr>
          <w:rFonts w:hint="eastAsia" w:ascii="宋体" w:hAnsi="宋体" w:eastAsia="宋体" w:cs="宋体"/>
          <w:color w:val="auto"/>
          <w:spacing w:val="2"/>
          <w:w w:val="99"/>
          <w:sz w:val="32"/>
          <w:szCs w:val="32"/>
          <w:highlight w:val="none"/>
          <w:u w:val="single"/>
          <w:lang w:eastAsia="zh-CN"/>
        </w:rPr>
        <w:t xml:space="preserve"> </w:t>
      </w:r>
      <w:r>
        <w:rPr>
          <w:rFonts w:hint="eastAsia" w:ascii="宋体" w:hAnsi="宋体" w:eastAsia="宋体" w:cs="宋体"/>
          <w:color w:val="auto"/>
          <w:spacing w:val="2"/>
          <w:w w:val="99"/>
          <w:sz w:val="32"/>
          <w:szCs w:val="32"/>
          <w:highlight w:val="none"/>
          <w:lang w:val="en-US" w:eastAsia="zh-CN"/>
        </w:rPr>
        <w:t xml:space="preserve">  </w:t>
      </w:r>
      <w:r>
        <w:rPr>
          <w:rFonts w:hint="eastAsia" w:ascii="宋体" w:hAnsi="宋体" w:eastAsia="宋体" w:cs="宋体"/>
          <w:color w:val="auto"/>
          <w:spacing w:val="2"/>
          <w:w w:val="99"/>
          <w:sz w:val="36"/>
          <w:szCs w:val="36"/>
          <w:highlight w:val="none"/>
          <w:lang w:val="en-US" w:eastAsia="zh-CN"/>
        </w:rPr>
        <w:t xml:space="preserve">           </w:t>
      </w:r>
      <w:r>
        <w:rPr>
          <w:rFonts w:hint="eastAsia" w:ascii="宋体" w:hAnsi="宋体" w:eastAsia="宋体" w:cs="宋体"/>
          <w:color w:val="auto"/>
          <w:spacing w:val="2"/>
          <w:w w:val="99"/>
          <w:sz w:val="36"/>
          <w:szCs w:val="36"/>
          <w:highlight w:val="none"/>
          <w:lang w:eastAsia="zh-CN"/>
        </w:rPr>
        <w:t xml:space="preserve"> </w:t>
      </w:r>
    </w:p>
    <w:p>
      <w:pPr>
        <w:keepNext w:val="0"/>
        <w:keepLines w:val="0"/>
        <w:pageBreakBefore w:val="0"/>
        <w:widowControl w:val="0"/>
        <w:shd w:val="clear"/>
        <w:kinsoku/>
        <w:wordWrap/>
        <w:overflowPunct/>
        <w:topLinePunct w:val="0"/>
        <w:autoSpaceDE w:val="0"/>
        <w:autoSpaceDN w:val="0"/>
        <w:bidi w:val="0"/>
        <w:adjustRightInd/>
        <w:snapToGrid/>
        <w:spacing w:before="120" w:after="120" w:line="360" w:lineRule="auto"/>
        <w:ind w:right="-23" w:firstLine="562" w:firstLineChars="200"/>
        <w:textAlignment w:val="auto"/>
        <w:rPr>
          <w:rFonts w:hint="eastAsia" w:ascii="宋体" w:hAnsi="宋体" w:eastAsia="宋体" w:cs="宋体"/>
          <w:color w:val="auto"/>
          <w:spacing w:val="2"/>
          <w:w w:val="99"/>
          <w:sz w:val="28"/>
          <w:szCs w:val="28"/>
          <w:highlight w:val="none"/>
          <w:lang w:val="en-US" w:eastAsia="zh-CN"/>
        </w:rPr>
      </w:pPr>
      <w:r>
        <w:rPr>
          <w:rFonts w:hint="eastAsia" w:ascii="宋体" w:hAnsi="宋体" w:eastAsia="宋体" w:cs="宋体"/>
          <w:color w:val="auto"/>
          <w:spacing w:val="2"/>
          <w:w w:val="99"/>
          <w:sz w:val="28"/>
          <w:szCs w:val="28"/>
          <w:highlight w:val="none"/>
          <w:lang w:val="en-US" w:eastAsia="zh-CN"/>
        </w:rPr>
        <w:t>（协议/预算100万元以上单项次）</w:t>
      </w:r>
    </w:p>
    <w:p>
      <w:pPr>
        <w:shd w:val="clear"/>
        <w:spacing w:before="4" w:line="120" w:lineRule="exact"/>
        <w:rPr>
          <w:rFonts w:hint="eastAsia" w:ascii="宋体" w:hAnsi="宋体" w:eastAsia="宋体" w:cs="宋体"/>
          <w:color w:val="auto"/>
          <w:sz w:val="12"/>
          <w:szCs w:val="12"/>
          <w:highlight w:val="none"/>
          <w:lang w:eastAsia="zh-CN"/>
        </w:rPr>
      </w:pPr>
      <w:r>
        <w:rPr>
          <w:rFonts w:hint="eastAsia" w:ascii="宋体" w:hAnsi="宋体" w:eastAsia="宋体" w:cs="宋体"/>
          <w:color w:val="auto"/>
          <w:spacing w:val="2"/>
          <w:highlight w:val="none"/>
          <w:lang w:val="en-US" w:eastAsia="zh-CN"/>
        </w:rPr>
        <w:t xml:space="preserve"> </w:t>
      </w:r>
    </w:p>
    <w:p>
      <w:pPr>
        <w:rPr>
          <w:rFonts w:hint="eastAsia" w:ascii="宋体" w:hAnsi="宋体" w:eastAsia="宋体" w:cs="宋体"/>
          <w:highlight w:val="none"/>
        </w:rPr>
      </w:pPr>
      <w:r>
        <w:rPr>
          <w:rFonts w:hint="eastAsia" w:ascii="宋体" w:hAnsi="宋体" w:eastAsia="宋体" w:cs="宋体"/>
          <w:highlight w:val="none"/>
        </w:rPr>
        <w:br w:type="page"/>
      </w:r>
    </w:p>
    <w:p>
      <w:pPr>
        <w:pStyle w:val="4"/>
        <w:rPr>
          <w:rFonts w:hint="eastAsia" w:ascii="Times New Roman" w:hAnsi="Times New Roman" w:eastAsia="宋体" w:cs="宋体"/>
          <w:lang w:val="en-US" w:eastAsia="zh-CN"/>
        </w:rPr>
        <w:sectPr>
          <w:footerReference r:id="rId3" w:type="default"/>
          <w:pgSz w:w="11906" w:h="16838"/>
          <w:pgMar w:top="1440" w:right="1441" w:bottom="1440" w:left="1800" w:header="851" w:footer="992" w:gutter="0"/>
          <w:cols w:space="425" w:num="1"/>
          <w:docGrid w:type="lines" w:linePitch="312" w:charSpace="0"/>
        </w:sectPr>
      </w:pPr>
    </w:p>
    <w:p>
      <w:pPr>
        <w:pStyle w:val="4"/>
        <w:rPr>
          <w:rFonts w:hint="eastAsia" w:ascii="Times New Roman" w:hAnsi="Times New Roman" w:eastAsia="宋体" w:cs="宋体"/>
          <w:lang w:val="en-US" w:eastAsia="zh-CN"/>
        </w:rPr>
      </w:pPr>
      <w:r>
        <w:rPr>
          <w:rFonts w:hint="eastAsia" w:ascii="Times New Roman" w:hAnsi="Times New Roman" w:eastAsia="宋体" w:cs="宋体"/>
          <w:lang w:val="en-US" w:eastAsia="zh-CN"/>
        </w:rPr>
        <w:t>一、项目概况</w:t>
      </w:r>
    </w:p>
    <w:p>
      <w:pPr>
        <w:pStyle w:val="17"/>
        <w:spacing w:line="360" w:lineRule="auto"/>
        <w:ind w:firstLine="480" w:firstLineChars="200"/>
        <w:rPr>
          <w:rFonts w:hint="eastAsia" w:ascii="Times New Roman" w:hAnsi="Times New Roman" w:eastAsia="宋体" w:cs="宋体"/>
          <w:lang w:eastAsia="zh-CN"/>
        </w:rPr>
      </w:pPr>
      <w:r>
        <w:rPr>
          <w:rFonts w:hint="eastAsia" w:ascii="Times New Roman" w:hAnsi="Times New Roman" w:eastAsia="宋体" w:cs="宋体"/>
          <w:lang w:eastAsia="zh-CN"/>
        </w:rPr>
        <w:t>已建</w:t>
      </w:r>
      <w:r>
        <w:rPr>
          <w:rFonts w:hint="eastAsia" w:ascii="Times New Roman" w:hAnsi="Times New Roman" w:eastAsia="宋体" w:cs="宋体"/>
          <w:lang w:val="en-US" w:eastAsia="zh-CN"/>
        </w:rPr>
        <w:t>葫芦岛天然气处理厂</w:t>
      </w:r>
      <w:r>
        <w:rPr>
          <w:rFonts w:hint="eastAsia" w:ascii="Times New Roman" w:hAnsi="Times New Roman" w:eastAsia="宋体" w:cs="宋体"/>
          <w:lang w:eastAsia="zh-CN"/>
        </w:rPr>
        <w:t>现位于辽宁省葫芦岛市龙港区，1992年投产，设计年限20年（2012年），是辽东湾海气管网调节和辽东湾区域开发重要站点之一，承担着海上天然气处理加工、干气及副产品外销职责，并为农业生产、城市居民生活质量改善和葫芦岛地区的经济发展做出了较大的贡献。随着葫芦岛市经济建设不断发展，目前，分离厂的生产经营性质已不再匹配地方政府的区域整体规划功能，且分离厂周边居民区与厂区较近，安全环保形势日趋严峻。同时，由于锦州20-2天然气分离厂已运行32年，设备设施老旧，安全隐患逐年放大，对日常的安全生产带来很大压力。结合城市发展及企业安全生产的实际需求，并根据2023年10月13日，</w:t>
      </w:r>
      <w:r>
        <w:rPr>
          <w:rFonts w:hint="eastAsia" w:ascii="Times New Roman" w:hAnsi="Times New Roman" w:eastAsia="宋体" w:cs="宋体"/>
          <w:lang w:val="en-US" w:eastAsia="zh-CN"/>
        </w:rPr>
        <w:t>中海石油（中国）</w:t>
      </w:r>
      <w:r>
        <w:rPr>
          <w:rFonts w:hint="eastAsia" w:ascii="Times New Roman" w:hAnsi="Times New Roman" w:eastAsia="宋体" w:cs="宋体"/>
          <w:lang w:eastAsia="zh-CN"/>
        </w:rPr>
        <w:t>有限公司和葫芦岛市政府签订的《锦州20-2天然气分离厂迁建项目合作协议》，从支持葫芦岛地方建设和公司内在发展需求出发，分离厂迁建已势在必行。</w:t>
      </w:r>
    </w:p>
    <w:p>
      <w:pPr>
        <w:pStyle w:val="17"/>
        <w:spacing w:line="360" w:lineRule="auto"/>
        <w:ind w:firstLine="480" w:firstLineChars="200"/>
        <w:rPr>
          <w:rFonts w:hint="eastAsia" w:ascii="Times New Roman" w:hAnsi="Times New Roman" w:eastAsia="宋体" w:cs="宋体"/>
          <w:lang w:eastAsia="zh-CN"/>
        </w:rPr>
      </w:pPr>
      <w:r>
        <w:rPr>
          <w:rFonts w:hint="eastAsia" w:ascii="Times New Roman" w:hAnsi="Times New Roman" w:eastAsia="宋体" w:cs="宋体"/>
          <w:lang w:eastAsia="zh-CN"/>
        </w:rPr>
        <w:t>已建</w:t>
      </w:r>
      <w:r>
        <w:rPr>
          <w:rFonts w:hint="eastAsia" w:ascii="Times New Roman" w:hAnsi="Times New Roman" w:eastAsia="宋体" w:cs="宋体"/>
          <w:lang w:val="en-US" w:eastAsia="zh-CN"/>
        </w:rPr>
        <w:t>葫芦岛天然气处理厂</w:t>
      </w:r>
      <w:r>
        <w:rPr>
          <w:rFonts w:hint="eastAsia" w:ascii="Times New Roman" w:hAnsi="Times New Roman" w:eastAsia="宋体" w:cs="宋体"/>
          <w:lang w:eastAsia="zh-CN"/>
        </w:rPr>
        <w:t>具有天然气处理加工和外销功能，分离厂主要加工和处理从海上凝析气田来的凝析油和天然气，主要包括凝析油稳定、轻烃回收、干气外输、液化石油气、轻烃及稳定轻烃的储存及外运、火炬系统、污水处理等生产设施及辅助生产设施。</w:t>
      </w:r>
      <w:r>
        <w:rPr>
          <w:rFonts w:hint="eastAsia" w:ascii="Times New Roman" w:hAnsi="Times New Roman" w:eastAsia="宋体" w:cs="宋体"/>
          <w:lang w:val="en-US" w:eastAsia="zh-CN"/>
        </w:rPr>
        <w:t>本项目</w:t>
      </w:r>
      <w:r>
        <w:rPr>
          <w:rFonts w:hint="eastAsia" w:ascii="Times New Roman" w:hAnsi="Times New Roman" w:eastAsia="宋体" w:cs="宋体"/>
          <w:lang w:eastAsia="zh-CN"/>
        </w:rPr>
        <w:t>计划通过建立核心操作单元实时在线优化系统，为工艺加工过程提供最佳的操作条件，实现工艺异常预警和措施推荐，降低对操作员经验依赖，提高高附加值产品产量，降低能耗及碳排放；通过智能控制系统，提高系统操作平稳性和可靠性。</w:t>
      </w:r>
    </w:p>
    <w:p>
      <w:pPr>
        <w:pStyle w:val="17"/>
        <w:spacing w:line="360" w:lineRule="auto"/>
        <w:ind w:firstLine="480" w:firstLineChars="200"/>
        <w:rPr>
          <w:rFonts w:hint="default" w:ascii="Times New Roman" w:hAnsi="Times New Roman" w:eastAsia="宋体" w:cs="宋体"/>
          <w:lang w:val="en-US" w:eastAsia="zh-CN"/>
        </w:rPr>
      </w:pPr>
      <w:r>
        <w:rPr>
          <w:rFonts w:hint="eastAsia" w:ascii="Times New Roman" w:hAnsi="Times New Roman" w:eastAsia="宋体" w:cs="宋体"/>
          <w:lang w:val="en-US" w:eastAsia="zh-CN"/>
        </w:rPr>
        <w:t>中海油能用发展装备技术有限公司设计研发中心专业从事海洋工程技术咨询、海洋工程设计、模块钻机/修井机集成设计、数字化一体化技术服务、海洋石油专用产品研发与推广、绿色低碳技术研究等业务，是一家以技术引领为核心的设计研发单位，具备海上油气田开发、设备设施全生命周期设计咨询服务能力，近年来不断发展设计运维协同数字化应用，在海洋设备设施一体化智慧运维方面取得了长足的发展。在</w:t>
      </w:r>
      <w:r>
        <w:rPr>
          <w:rFonts w:hint="eastAsia" w:ascii="Times New Roman" w:hAnsi="Times New Roman" w:eastAsia="宋体" w:cs="宋体"/>
          <w:lang w:eastAsia="zh-CN"/>
        </w:rPr>
        <w:t>锦州20-2天然气分离厂项目中</w:t>
      </w:r>
      <w:r>
        <w:rPr>
          <w:rFonts w:hint="eastAsia" w:ascii="Times New Roman" w:hAnsi="Times New Roman" w:eastAsia="宋体" w:cs="宋体"/>
          <w:lang w:val="en-US" w:eastAsia="zh-CN"/>
        </w:rPr>
        <w:t>负责流程仿真模块的建设。</w:t>
      </w:r>
    </w:p>
    <w:p>
      <w:pPr>
        <w:pStyle w:val="17"/>
        <w:spacing w:line="360" w:lineRule="auto"/>
        <w:ind w:firstLine="480" w:firstLineChars="200"/>
        <w:rPr>
          <w:rFonts w:hint="eastAsia" w:ascii="Times New Roman" w:hAnsi="Times New Roman" w:eastAsia="宋体" w:cs="宋体"/>
          <w:lang w:val="en-US" w:eastAsia="zh-CN"/>
        </w:rPr>
      </w:pPr>
      <w:r>
        <w:rPr>
          <w:rFonts w:hint="eastAsia" w:ascii="Times New Roman" w:hAnsi="Times New Roman" w:eastAsia="宋体" w:cs="宋体"/>
          <w:lang w:val="en-US" w:eastAsia="zh-CN"/>
        </w:rPr>
        <w:t>由于中海石油（中国）有限公司大力推广智能油田建设，</w:t>
      </w:r>
      <w:r>
        <w:rPr>
          <w:rFonts w:hint="eastAsia" w:ascii="宋体" w:hAnsi="宋体" w:eastAsia="宋体" w:cs="宋体"/>
          <w:color w:val="auto"/>
          <w:kern w:val="2"/>
          <w:sz w:val="24"/>
          <w:szCs w:val="24"/>
          <w:highlight w:val="none"/>
          <w:lang w:val="en-US" w:eastAsia="zh-CN" w:bidi="ar-SA"/>
        </w:rPr>
        <w:t>中海油能用发展装备技术有限公司设计研发中心</w:t>
      </w:r>
      <w:r>
        <w:rPr>
          <w:rFonts w:hint="eastAsia" w:ascii="Times New Roman" w:hAnsi="Times New Roman" w:eastAsia="宋体" w:cs="宋体"/>
          <w:lang w:val="en-US" w:eastAsia="zh-CN"/>
        </w:rPr>
        <w:t>同步开展的油气田开发项目智能化建设工作日益增多，各项目工期紧张且时间多有重合，</w:t>
      </w:r>
      <w:r>
        <w:rPr>
          <w:rFonts w:hint="eastAsia" w:ascii="Times New Roman" w:hAnsi="Times New Roman" w:eastAsia="宋体" w:cs="宋体"/>
          <w:lang w:eastAsia="zh-CN"/>
        </w:rPr>
        <w:t>综合考虑到</w:t>
      </w:r>
      <w:r>
        <w:rPr>
          <w:rFonts w:hint="eastAsia" w:ascii="Times New Roman" w:hAnsi="Times New Roman" w:eastAsia="宋体" w:cs="宋体"/>
          <w:lang w:val="en-US" w:eastAsia="zh-CN"/>
        </w:rPr>
        <w:t>中海油能用发展装备技术有限公司设计研发中心</w:t>
      </w:r>
      <w:r>
        <w:rPr>
          <w:rFonts w:hint="eastAsia" w:ascii="Times New Roman" w:hAnsi="Times New Roman" w:eastAsia="宋体" w:cs="宋体"/>
          <w:lang w:eastAsia="zh-CN"/>
        </w:rPr>
        <w:t>目前的生产任务和人力资源配置情况，常规的</w:t>
      </w:r>
      <w:r>
        <w:rPr>
          <w:rFonts w:hint="eastAsia" w:ascii="Times New Roman" w:hAnsi="Times New Roman" w:eastAsia="宋体" w:cs="宋体"/>
          <w:lang w:val="en-US" w:eastAsia="zh-CN"/>
        </w:rPr>
        <w:t>工艺</w:t>
      </w:r>
      <w:r>
        <w:rPr>
          <w:rFonts w:hint="eastAsia" w:ascii="Times New Roman" w:hAnsi="Times New Roman" w:eastAsia="宋体" w:cs="宋体"/>
          <w:lang w:eastAsia="zh-CN"/>
        </w:rPr>
        <w:t>专业的设计及研发任务已达到满负荷状态，现有的工作模式、人力构成情况已不足以支撑以上相关工作要求。</w:t>
      </w:r>
      <w:r>
        <w:rPr>
          <w:rFonts w:hint="eastAsia" w:ascii="Times New Roman" w:hAnsi="Times New Roman" w:eastAsia="宋体" w:cs="宋体"/>
          <w:lang w:val="en-US" w:eastAsia="zh-CN"/>
        </w:rPr>
        <w:t>因此</w:t>
      </w:r>
      <w:r>
        <w:rPr>
          <w:rFonts w:hint="eastAsia" w:ascii="Times New Roman" w:hAnsi="Times New Roman" w:eastAsia="宋体" w:cs="宋体"/>
          <w:lang w:eastAsia="zh-CN"/>
        </w:rPr>
        <w:t>需要</w:t>
      </w:r>
      <w:r>
        <w:rPr>
          <w:rFonts w:hint="eastAsia" w:ascii="Times New Roman" w:hAnsi="Times New Roman" w:eastAsia="宋体" w:cs="宋体"/>
          <w:lang w:val="en-US" w:eastAsia="zh-CN"/>
        </w:rPr>
        <w:t>在装备技术公司自有人员主要负责流程仿真技术顶层设计、架构设计、业务功能设计、实施方案设计等工作的同时，</w:t>
      </w:r>
      <w:r>
        <w:rPr>
          <w:rFonts w:hint="eastAsia" w:ascii="Times New Roman" w:hAnsi="Times New Roman" w:eastAsia="宋体" w:cs="宋体"/>
          <w:lang w:eastAsia="zh-CN"/>
        </w:rPr>
        <w:t>委托外</w:t>
      </w:r>
      <w:r>
        <w:rPr>
          <w:rFonts w:hint="eastAsia" w:ascii="Times New Roman" w:hAnsi="Times New Roman" w:eastAsia="宋体" w:cs="宋体"/>
          <w:lang w:val="en-US" w:eastAsia="zh-CN"/>
        </w:rPr>
        <w:t>部</w:t>
      </w:r>
      <w:r>
        <w:rPr>
          <w:rFonts w:hint="eastAsia" w:ascii="Times New Roman" w:hAnsi="Times New Roman" w:eastAsia="宋体" w:cs="宋体"/>
          <w:lang w:eastAsia="zh-CN"/>
        </w:rPr>
        <w:t>单位开展分析辅助技术服务工作，配合公司高效保质的完成</w:t>
      </w:r>
      <w:r>
        <w:rPr>
          <w:rFonts w:hint="eastAsia" w:ascii="Times New Roman" w:hAnsi="Times New Roman" w:eastAsia="宋体" w:cs="宋体"/>
          <w:lang w:val="en-US" w:eastAsia="zh-CN"/>
        </w:rPr>
        <w:t>锦州20-2天然气分离厂流程模拟模块的实施。</w:t>
      </w:r>
    </w:p>
    <w:p>
      <w:pPr>
        <w:pStyle w:val="4"/>
        <w:rPr>
          <w:rFonts w:hint="eastAsia" w:ascii="Times New Roman" w:hAnsi="Times New Roman" w:eastAsia="宋体" w:cs="宋体"/>
        </w:rPr>
      </w:pPr>
      <w:r>
        <w:rPr>
          <w:rFonts w:hint="eastAsia" w:ascii="Times New Roman" w:hAnsi="Times New Roman" w:eastAsia="宋体" w:cs="宋体"/>
        </w:rPr>
        <w:t>二、服务内容和范围</w:t>
      </w:r>
      <w:bookmarkEnd w:id="0"/>
      <w:bookmarkEnd w:id="1"/>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2.1</w:t>
      </w:r>
      <w:r>
        <w:rPr>
          <w:rFonts w:hint="eastAsia" w:ascii="Times New Roman" w:hAnsi="Times New Roman" w:eastAsia="宋体" w:cs="宋体"/>
          <w:spacing w:val="0"/>
          <w:sz w:val="24"/>
          <w:szCs w:val="24"/>
        </w:rPr>
        <w:t>服务范围</w:t>
      </w:r>
    </w:p>
    <w:p>
      <w:pPr>
        <w:pStyle w:val="3"/>
        <w:spacing w:line="360" w:lineRule="auto"/>
        <w:ind w:right="121" w:rightChars="55"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投标人需根据招标人</w:t>
      </w:r>
      <w:r>
        <w:rPr>
          <w:rFonts w:hint="eastAsia" w:ascii="宋体" w:hAnsi="宋体" w:eastAsia="宋体" w:cs="宋体"/>
          <w:sz w:val="24"/>
          <w:szCs w:val="24"/>
          <w:highlight w:val="none"/>
          <w:lang w:val="en-US" w:eastAsia="zh-CN" w:bidi="ar"/>
        </w:rPr>
        <w:t>对流程仿真模块的分析调研、</w:t>
      </w:r>
      <w:r>
        <w:rPr>
          <w:rFonts w:hint="eastAsia" w:ascii="宋体" w:hAnsi="宋体" w:eastAsia="宋体" w:cs="宋体"/>
          <w:color w:val="000000"/>
          <w:sz w:val="24"/>
          <w:szCs w:val="24"/>
          <w:highlight w:val="none"/>
          <w:lang w:val="en-US" w:eastAsia="zh-CN"/>
        </w:rPr>
        <w:t>顶层规划及设计、</w:t>
      </w:r>
      <w:r>
        <w:rPr>
          <w:rFonts w:hint="eastAsia" w:ascii="宋体" w:hAnsi="宋体" w:eastAsia="宋体" w:cs="宋体"/>
          <w:sz w:val="24"/>
          <w:szCs w:val="24"/>
          <w:highlight w:val="none"/>
          <w:lang w:val="en-US" w:eastAsia="zh-CN" w:bidi="ar"/>
        </w:rPr>
        <w:t>技术路线、总体架构设计、</w:t>
      </w:r>
      <w:r>
        <w:rPr>
          <w:rFonts w:hint="eastAsia" w:ascii="宋体" w:hAnsi="宋体" w:eastAsia="宋体" w:cs="宋体"/>
          <w:color w:val="000000"/>
          <w:sz w:val="24"/>
          <w:szCs w:val="24"/>
          <w:highlight w:val="none"/>
          <w:lang w:val="en-US" w:eastAsia="zh-CN"/>
        </w:rPr>
        <w:t>总体功能设计</w:t>
      </w:r>
      <w:r>
        <w:rPr>
          <w:rFonts w:hint="eastAsia" w:ascii="宋体" w:hAnsi="宋体" w:eastAsia="宋体" w:cs="宋体"/>
          <w:sz w:val="24"/>
          <w:szCs w:val="24"/>
          <w:highlight w:val="none"/>
          <w:lang w:val="en-US" w:eastAsia="zh-CN" w:bidi="ar"/>
        </w:rPr>
        <w:t>和各业务应用模块实施方案、调试大纲和验收程序要求</w:t>
      </w:r>
      <w:r>
        <w:rPr>
          <w:rFonts w:hint="eastAsia" w:ascii="Times New Roman" w:hAnsi="Times New Roman" w:eastAsia="宋体" w:cs="宋体"/>
          <w:sz w:val="24"/>
          <w:szCs w:val="24"/>
          <w:lang w:eastAsia="zh-CN"/>
        </w:rPr>
        <w:t>，实现全处理厂工艺处理流程（包括进站预分离单元、凝析油稳定单元、天然气脱水单元、天然气制冷单元及天然气分馏单元）离线仿真模拟；</w:t>
      </w:r>
      <w:r>
        <w:rPr>
          <w:rFonts w:hint="eastAsia" w:ascii="Times New Roman" w:hAnsi="Times New Roman" w:eastAsia="宋体" w:cs="宋体"/>
          <w:sz w:val="24"/>
          <w:szCs w:val="24"/>
          <w:lang w:val="en-US" w:eastAsia="zh-CN"/>
        </w:rPr>
        <w:t>实现制冷分馏单元</w:t>
      </w:r>
      <w:r>
        <w:rPr>
          <w:rFonts w:hint="eastAsia" w:ascii="Times New Roman" w:hAnsi="Times New Roman" w:eastAsia="宋体" w:cs="宋体"/>
          <w:sz w:val="24"/>
          <w:szCs w:val="24"/>
          <w:lang w:eastAsia="zh-CN"/>
        </w:rPr>
        <w:t>装置操作条件的离线调优、装置操作条件的实时在线仿真优化（RTO）；</w:t>
      </w:r>
      <w:r>
        <w:rPr>
          <w:rFonts w:hint="eastAsia" w:ascii="Times New Roman" w:hAnsi="Times New Roman" w:eastAsia="宋体" w:cs="宋体"/>
          <w:sz w:val="24"/>
          <w:szCs w:val="24"/>
          <w:lang w:val="en-US" w:eastAsia="zh-CN"/>
        </w:rPr>
        <w:t>实现</w:t>
      </w:r>
      <w:r>
        <w:rPr>
          <w:rFonts w:hint="eastAsia" w:ascii="Times New Roman" w:hAnsi="Times New Roman" w:eastAsia="宋体" w:cs="宋体"/>
          <w:sz w:val="24"/>
          <w:szCs w:val="24"/>
          <w:lang w:eastAsia="zh-CN"/>
        </w:rPr>
        <w:t>装置（包括但不限于换热器、精馏塔）的工艺异常预警。</w:t>
      </w:r>
    </w:p>
    <w:p>
      <w:pPr>
        <w:pStyle w:val="3"/>
        <w:spacing w:line="360" w:lineRule="auto"/>
        <w:ind w:right="121" w:rightChars="55"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通过在线仿真优化（RTO）系统的投运，为天然气分离厂生产提供理论模型指导，实现以机理模型替代人工经验完成装置操作条件在线实时优化，利用数据通讯接口将优化结果下发APC系统执行，从而实现提升装置综合生产效益，降低生产能耗，减少碳排放，实现挖潜增效的目标。</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2.2服务内容</w:t>
      </w:r>
    </w:p>
    <w:p>
      <w:pPr>
        <w:pStyle w:val="17"/>
        <w:ind w:firstLine="480" w:firstLineChars="200"/>
        <w:rPr>
          <w:rFonts w:ascii="Times New Roman" w:hAnsi="Times New Roman"/>
        </w:rPr>
      </w:pPr>
      <w:r>
        <w:rPr>
          <w:rFonts w:hint="eastAsia" w:ascii="Times New Roman" w:hAnsi="Times New Roman"/>
        </w:rPr>
        <w:t>2.2.</w:t>
      </w:r>
      <w:r>
        <w:rPr>
          <w:rFonts w:hint="eastAsia" w:ascii="Times New Roman" w:hAnsi="Times New Roman"/>
          <w:lang w:val="en-US" w:eastAsia="zh-CN"/>
        </w:rPr>
        <w:t>1</w:t>
      </w:r>
      <w:r>
        <w:rPr>
          <w:rFonts w:hint="eastAsia" w:ascii="Times New Roman" w:hAnsi="Times New Roman"/>
        </w:rPr>
        <w:t xml:space="preserve"> 服务支持</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（1）离线仿真：负责根据天然气分离厂实际的工艺流程，</w:t>
      </w:r>
      <w:r>
        <w:rPr>
          <w:rFonts w:hint="eastAsia" w:ascii="Times New Roman" w:hAnsi="Times New Roman" w:eastAsia="宋体" w:cs="宋体"/>
          <w:sz w:val="24"/>
          <w:szCs w:val="24"/>
          <w:highlight w:val="none"/>
          <w:lang w:val="en-US" w:eastAsia="zh-CN"/>
        </w:rPr>
        <w:t>建立</w:t>
      </w:r>
      <w:r>
        <w:rPr>
          <w:rFonts w:hint="eastAsia" w:ascii="Times New Roman" w:hAnsi="Times New Roman" w:eastAsia="宋体" w:cs="宋体"/>
          <w:sz w:val="24"/>
          <w:szCs w:val="24"/>
          <w:highlight w:val="none"/>
          <w:lang w:eastAsia="zh-CN"/>
        </w:rPr>
        <w:t>能够准确描述装置运行的机理模型。</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（2）离线调优：负责确定目标函数、约束条件，</w:t>
      </w:r>
      <w:r>
        <w:rPr>
          <w:rFonts w:hint="eastAsia" w:ascii="Times New Roman" w:hAnsi="Times New Roman" w:eastAsia="宋体" w:cs="宋体"/>
          <w:sz w:val="24"/>
          <w:szCs w:val="24"/>
          <w:highlight w:val="none"/>
          <w:lang w:val="en-US" w:eastAsia="zh-CN"/>
        </w:rPr>
        <w:t>设计</w:t>
      </w:r>
      <w:r>
        <w:rPr>
          <w:rFonts w:hint="eastAsia" w:ascii="Times New Roman" w:hAnsi="Times New Roman" w:eastAsia="宋体" w:cs="宋体"/>
          <w:sz w:val="24"/>
          <w:szCs w:val="24"/>
          <w:highlight w:val="none"/>
          <w:lang w:eastAsia="zh-CN"/>
        </w:rPr>
        <w:t>数据整定和优化算法。</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（3）实时在线优化：负责实时在线仿真优化系统（RTO）</w:t>
      </w:r>
      <w:r>
        <w:rPr>
          <w:rFonts w:hint="eastAsia" w:ascii="Times New Roman" w:hAnsi="Times New Roman" w:eastAsia="宋体" w:cs="宋体"/>
          <w:sz w:val="24"/>
          <w:szCs w:val="24"/>
          <w:highlight w:val="none"/>
          <w:lang w:val="en-US" w:eastAsia="zh-CN"/>
        </w:rPr>
        <w:t>开发、</w:t>
      </w:r>
      <w:r>
        <w:rPr>
          <w:rFonts w:hint="eastAsia" w:ascii="Times New Roman" w:hAnsi="Times New Roman" w:eastAsia="宋体" w:cs="宋体"/>
          <w:sz w:val="24"/>
          <w:szCs w:val="24"/>
          <w:highlight w:val="none"/>
          <w:lang w:eastAsia="zh-CN"/>
        </w:rPr>
        <w:t>部署，通过通用数据接口将实时生产数据与实时优化平台进行同步，并且进行开环测试。</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（4）与APC闭环联动：负责配合与先进控制系统（APC）的闭环测试，根据测试情况及时调整优化策略，保证实时在线仿真优化系统（RTO）、先进控制系统（APC）的无扰切换，保障优化的可行性。</w:t>
      </w:r>
    </w:p>
    <w:p>
      <w:pPr>
        <w:pStyle w:val="17"/>
        <w:spacing w:line="360" w:lineRule="auto"/>
        <w:ind w:firstLine="480" w:firstLineChars="200"/>
        <w:rPr>
          <w:rFonts w:hint="default" w:eastAsia="宋体"/>
          <w:lang w:val="en-US" w:eastAsia="zh-CN"/>
        </w:rPr>
      </w:pPr>
      <w:r>
        <w:rPr>
          <w:rFonts w:hint="eastAsia" w:ascii="Times New Roman" w:hAnsi="Times New Roman"/>
          <w:highlight w:val="none"/>
        </w:rPr>
        <w:t>（5）异常预警：负责建立常见异常工况场景分析预警模型，对工艺流程、仪表状态、设备状态及工艺介质状态等参数进行在线诊断，对关键指标进行加速运行分析，提示异常产生根源，实现状态变化预测预警，及时指导现场人员采取措施。</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w:t>
      </w:r>
      <w:r>
        <w:rPr>
          <w:rFonts w:hint="eastAsia" w:ascii="Times New Roman" w:hAnsi="Times New Roman" w:eastAsia="宋体" w:cs="宋体"/>
          <w:sz w:val="24"/>
          <w:szCs w:val="24"/>
          <w:lang w:val="en-US" w:eastAsia="zh-CN"/>
        </w:rPr>
        <w:t>.2</w:t>
      </w:r>
      <w:r>
        <w:rPr>
          <w:rFonts w:hint="eastAsia" w:ascii="Times New Roman" w:hAnsi="Times New Roman" w:eastAsia="宋体" w:cs="宋体"/>
          <w:sz w:val="24"/>
          <w:szCs w:val="24"/>
        </w:rPr>
        <w:t>工作量清单</w:t>
      </w:r>
    </w:p>
    <w:tbl>
      <w:tblPr>
        <w:tblStyle w:val="12"/>
        <w:tblW w:w="8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4678"/>
        <w:gridCol w:w="2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71" w:type="dxa"/>
            <w:vAlign w:val="center"/>
          </w:tcPr>
          <w:p>
            <w:pPr>
              <w:pStyle w:val="19"/>
              <w:rPr>
                <w:rFonts w:hint="eastAsia" w:cs="宋体"/>
                <w:sz w:val="24"/>
                <w:szCs w:val="24"/>
              </w:rPr>
            </w:pPr>
            <w:bookmarkStart w:id="2" w:name="_Toc54011344"/>
            <w:bookmarkStart w:id="3" w:name="_Toc54015540"/>
            <w:bookmarkStart w:id="4" w:name="_Toc80636014"/>
            <w:bookmarkStart w:id="5" w:name="_Toc67665740"/>
            <w:bookmarkStart w:id="6" w:name="_Toc88234405"/>
            <w:r>
              <w:rPr>
                <w:rFonts w:hint="eastAsia" w:cs="宋体"/>
                <w:sz w:val="24"/>
                <w:szCs w:val="24"/>
              </w:rPr>
              <w:t>序号</w:t>
            </w:r>
            <w:bookmarkEnd w:id="2"/>
            <w:bookmarkEnd w:id="3"/>
            <w:bookmarkEnd w:id="4"/>
            <w:bookmarkEnd w:id="5"/>
            <w:bookmarkEnd w:id="6"/>
          </w:p>
        </w:tc>
        <w:tc>
          <w:tcPr>
            <w:tcW w:w="4678" w:type="dxa"/>
            <w:vAlign w:val="center"/>
          </w:tcPr>
          <w:p>
            <w:pPr>
              <w:pStyle w:val="19"/>
              <w:rPr>
                <w:rFonts w:hint="eastAsia" w:cs="宋体"/>
                <w:sz w:val="24"/>
                <w:szCs w:val="24"/>
              </w:rPr>
            </w:pPr>
            <w:bookmarkStart w:id="7" w:name="_Toc54015541"/>
            <w:bookmarkStart w:id="8" w:name="_Toc80636015"/>
            <w:bookmarkStart w:id="9" w:name="_Toc54011345"/>
            <w:bookmarkStart w:id="10" w:name="_Toc88234406"/>
            <w:bookmarkStart w:id="11" w:name="_Toc67665741"/>
            <w:r>
              <w:rPr>
                <w:rFonts w:hint="eastAsia" w:cs="宋体"/>
                <w:sz w:val="24"/>
                <w:szCs w:val="24"/>
              </w:rPr>
              <w:t>报价项</w:t>
            </w:r>
            <w:bookmarkEnd w:id="7"/>
            <w:bookmarkEnd w:id="8"/>
            <w:bookmarkEnd w:id="9"/>
            <w:bookmarkEnd w:id="10"/>
            <w:bookmarkEnd w:id="11"/>
            <w:bookmarkStart w:id="12" w:name="_Toc54011346"/>
            <w:bookmarkStart w:id="13" w:name="_Toc54015542"/>
            <w:bookmarkStart w:id="14" w:name="_Toc67665742"/>
            <w:bookmarkStart w:id="15" w:name="_Toc80636016"/>
            <w:bookmarkStart w:id="16" w:name="_Toc88234407"/>
            <w:r>
              <w:rPr>
                <w:rFonts w:hint="eastAsia" w:cs="宋体"/>
                <w:sz w:val="24"/>
                <w:szCs w:val="24"/>
              </w:rPr>
              <w:t>（内容、规格）</w:t>
            </w:r>
            <w:bookmarkEnd w:id="12"/>
            <w:bookmarkEnd w:id="13"/>
            <w:bookmarkEnd w:id="14"/>
            <w:bookmarkEnd w:id="15"/>
            <w:bookmarkEnd w:id="16"/>
          </w:p>
        </w:tc>
        <w:tc>
          <w:tcPr>
            <w:tcW w:w="2649" w:type="dxa"/>
            <w:vAlign w:val="center"/>
          </w:tcPr>
          <w:p>
            <w:pPr>
              <w:pStyle w:val="19"/>
              <w:rPr>
                <w:rFonts w:hint="eastAsia" w:cs="宋体"/>
                <w:sz w:val="24"/>
                <w:szCs w:val="24"/>
              </w:rPr>
            </w:pPr>
            <w:bookmarkStart w:id="17" w:name="_Toc54011351"/>
            <w:bookmarkStart w:id="18" w:name="_Toc80636020"/>
            <w:bookmarkStart w:id="19" w:name="_Toc67665746"/>
            <w:bookmarkStart w:id="20" w:name="_Toc54015547"/>
            <w:bookmarkStart w:id="21" w:name="_Toc88234411"/>
            <w:r>
              <w:rPr>
                <w:rFonts w:hint="eastAsia" w:cs="宋体"/>
                <w:sz w:val="24"/>
                <w:szCs w:val="24"/>
              </w:rPr>
              <w:t>备注</w:t>
            </w:r>
            <w:bookmarkEnd w:id="17"/>
            <w:bookmarkEnd w:id="18"/>
            <w:bookmarkEnd w:id="19"/>
            <w:bookmarkEnd w:id="20"/>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71" w:type="dxa"/>
            <w:vAlign w:val="center"/>
          </w:tcPr>
          <w:p>
            <w:pPr>
              <w:pStyle w:val="19"/>
              <w:rPr>
                <w:rFonts w:hint="eastAsia" w:cs="宋体"/>
                <w:b/>
                <w:bCs/>
                <w:sz w:val="24"/>
                <w:szCs w:val="24"/>
              </w:rPr>
            </w:pPr>
            <w:r>
              <w:rPr>
                <w:rFonts w:hint="eastAsia" w:cs="宋体"/>
                <w:b/>
                <w:bCs/>
                <w:sz w:val="24"/>
                <w:szCs w:val="24"/>
              </w:rPr>
              <w:t>一</w:t>
            </w:r>
          </w:p>
        </w:tc>
        <w:tc>
          <w:tcPr>
            <w:tcW w:w="4678" w:type="dxa"/>
            <w:vAlign w:val="center"/>
          </w:tcPr>
          <w:p>
            <w:pPr>
              <w:pStyle w:val="19"/>
              <w:rPr>
                <w:rFonts w:hint="eastAsia" w:cs="宋体"/>
                <w:b/>
                <w:bCs/>
                <w:sz w:val="24"/>
                <w:szCs w:val="24"/>
              </w:rPr>
            </w:pPr>
            <w:r>
              <w:rPr>
                <w:rFonts w:hint="eastAsia" w:cs="宋体"/>
                <w:b/>
                <w:bCs/>
                <w:sz w:val="24"/>
                <w:szCs w:val="24"/>
              </w:rPr>
              <w:t>离线仿真、离线调优和实时在线仿真优化系统（RTO）开发、异常预警模型建立与实施</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1.1</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离线仿真机理模型的建立</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1.1.1</w:t>
            </w:r>
          </w:p>
        </w:tc>
        <w:tc>
          <w:tcPr>
            <w:tcW w:w="4678" w:type="dxa"/>
            <w:vAlign w:val="center"/>
          </w:tcPr>
          <w:p>
            <w:pPr>
              <w:pStyle w:val="19"/>
              <w:rPr>
                <w:rFonts w:hint="eastAsia" w:cs="宋体"/>
                <w:sz w:val="24"/>
                <w:szCs w:val="24"/>
              </w:rPr>
            </w:pPr>
            <w:r>
              <w:rPr>
                <w:rFonts w:hint="eastAsia" w:cs="宋体"/>
                <w:sz w:val="24"/>
                <w:szCs w:val="24"/>
              </w:rPr>
              <w:t>装置运行数据收集</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1.1.2</w:t>
            </w:r>
          </w:p>
        </w:tc>
        <w:tc>
          <w:tcPr>
            <w:tcW w:w="4678" w:type="dxa"/>
            <w:vAlign w:val="center"/>
          </w:tcPr>
          <w:p>
            <w:pPr>
              <w:pStyle w:val="19"/>
              <w:rPr>
                <w:rFonts w:hint="eastAsia" w:cs="宋体"/>
                <w:sz w:val="24"/>
                <w:szCs w:val="24"/>
              </w:rPr>
            </w:pPr>
            <w:r>
              <w:rPr>
                <w:rFonts w:hint="eastAsia" w:cs="宋体"/>
                <w:sz w:val="24"/>
                <w:szCs w:val="24"/>
              </w:rPr>
              <w:t>机理模型构建与测试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271" w:type="dxa"/>
            <w:vAlign w:val="center"/>
          </w:tcPr>
          <w:p>
            <w:pPr>
              <w:pStyle w:val="19"/>
              <w:rPr>
                <w:rFonts w:hint="default" w:eastAsia="宋体" w:cs="宋体"/>
                <w:sz w:val="24"/>
                <w:szCs w:val="24"/>
                <w:lang w:val="en-US" w:eastAsia="zh-CN"/>
              </w:rPr>
            </w:pPr>
            <w:r>
              <w:rPr>
                <w:rFonts w:hint="eastAsia" w:cs="宋体"/>
                <w:sz w:val="24"/>
                <w:szCs w:val="24"/>
                <w:lang w:val="en-US" w:eastAsia="zh-CN"/>
              </w:rPr>
              <w:t>1.1.3</w:t>
            </w:r>
          </w:p>
        </w:tc>
        <w:tc>
          <w:tcPr>
            <w:tcW w:w="4678" w:type="dxa"/>
            <w:vAlign w:val="center"/>
          </w:tcPr>
          <w:p>
            <w:pPr>
              <w:pStyle w:val="19"/>
              <w:rPr>
                <w:rFonts w:hint="eastAsia" w:cs="宋体"/>
                <w:sz w:val="24"/>
                <w:szCs w:val="24"/>
              </w:rPr>
            </w:pPr>
            <w:r>
              <w:rPr>
                <w:rFonts w:hint="eastAsia" w:cs="宋体"/>
                <w:sz w:val="24"/>
                <w:szCs w:val="24"/>
              </w:rPr>
              <w:t>模型优化</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271" w:type="dxa"/>
            <w:vAlign w:val="center"/>
          </w:tcPr>
          <w:p>
            <w:pPr>
              <w:pStyle w:val="19"/>
              <w:rPr>
                <w:rFonts w:hint="default" w:eastAsia="宋体" w:cs="宋体"/>
                <w:sz w:val="24"/>
                <w:szCs w:val="24"/>
                <w:lang w:val="en-US" w:eastAsia="zh-CN"/>
              </w:rPr>
            </w:pPr>
            <w:r>
              <w:rPr>
                <w:rFonts w:hint="eastAsia" w:cs="宋体"/>
                <w:sz w:val="24"/>
                <w:szCs w:val="24"/>
                <w:lang w:val="en-US" w:eastAsia="zh-CN"/>
              </w:rPr>
              <w:t>1.2</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离线调优功能完成</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271" w:type="dxa"/>
            <w:vAlign w:val="center"/>
          </w:tcPr>
          <w:p>
            <w:pPr>
              <w:pStyle w:val="19"/>
              <w:rPr>
                <w:rFonts w:hint="eastAsia" w:eastAsia="宋体" w:cs="宋体"/>
                <w:sz w:val="24"/>
                <w:szCs w:val="24"/>
                <w:lang w:eastAsia="zh-CN"/>
              </w:rPr>
            </w:pPr>
            <w:r>
              <w:rPr>
                <w:rFonts w:hint="eastAsia" w:cs="宋体"/>
                <w:sz w:val="24"/>
                <w:szCs w:val="24"/>
              </w:rPr>
              <w:t>1.</w:t>
            </w:r>
            <w:r>
              <w:rPr>
                <w:rFonts w:hint="eastAsia" w:cs="宋体"/>
                <w:sz w:val="24"/>
                <w:szCs w:val="24"/>
                <w:lang w:val="en-US" w:eastAsia="zh-CN"/>
              </w:rPr>
              <w:t>2</w:t>
            </w:r>
            <w:r>
              <w:rPr>
                <w:rFonts w:hint="eastAsia" w:cs="宋体"/>
                <w:sz w:val="24"/>
                <w:szCs w:val="24"/>
              </w:rPr>
              <w:t>.</w:t>
            </w:r>
            <w:r>
              <w:rPr>
                <w:rFonts w:hint="eastAsia" w:cs="宋体"/>
                <w:sz w:val="24"/>
                <w:szCs w:val="24"/>
                <w:lang w:val="en-US" w:eastAsia="zh-CN"/>
              </w:rPr>
              <w:t>1</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目标函数与约束条件的确立</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271" w:type="dxa"/>
            <w:vAlign w:val="center"/>
          </w:tcPr>
          <w:p>
            <w:pPr>
              <w:pStyle w:val="19"/>
              <w:rPr>
                <w:rFonts w:hint="eastAsia" w:eastAsia="宋体" w:cs="宋体"/>
                <w:sz w:val="24"/>
                <w:szCs w:val="24"/>
                <w:lang w:val="en-US" w:eastAsia="zh-CN"/>
              </w:rPr>
            </w:pPr>
            <w:r>
              <w:rPr>
                <w:rFonts w:hint="eastAsia" w:cs="宋体"/>
                <w:sz w:val="24"/>
                <w:szCs w:val="24"/>
              </w:rPr>
              <w:t>1.</w:t>
            </w:r>
            <w:r>
              <w:rPr>
                <w:rFonts w:hint="eastAsia" w:cs="宋体"/>
                <w:sz w:val="24"/>
                <w:szCs w:val="24"/>
                <w:lang w:val="en-US" w:eastAsia="zh-CN"/>
              </w:rPr>
              <w:t>2</w:t>
            </w:r>
            <w:r>
              <w:rPr>
                <w:rFonts w:hint="eastAsia" w:cs="宋体"/>
                <w:sz w:val="24"/>
                <w:szCs w:val="24"/>
              </w:rPr>
              <w:t>.</w:t>
            </w:r>
            <w:r>
              <w:rPr>
                <w:rFonts w:hint="eastAsia" w:cs="宋体"/>
                <w:sz w:val="24"/>
                <w:szCs w:val="24"/>
                <w:lang w:val="en-US" w:eastAsia="zh-CN"/>
              </w:rPr>
              <w:t>2</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开发数据整定</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default" w:eastAsia="宋体" w:cs="宋体"/>
                <w:sz w:val="24"/>
                <w:szCs w:val="24"/>
                <w:lang w:val="en-US" w:eastAsia="zh-CN"/>
              </w:rPr>
            </w:pPr>
            <w:r>
              <w:rPr>
                <w:rFonts w:hint="eastAsia" w:cs="宋体"/>
                <w:sz w:val="24"/>
                <w:szCs w:val="24"/>
                <w:lang w:val="en-US" w:eastAsia="zh-CN"/>
              </w:rPr>
              <w:t>1.2.3</w:t>
            </w:r>
          </w:p>
        </w:tc>
        <w:tc>
          <w:tcPr>
            <w:tcW w:w="4678" w:type="dxa"/>
            <w:vAlign w:val="center"/>
          </w:tcPr>
          <w:p>
            <w:pPr>
              <w:pStyle w:val="19"/>
              <w:rPr>
                <w:rFonts w:hint="default" w:cs="宋体"/>
                <w:sz w:val="24"/>
                <w:szCs w:val="24"/>
                <w:lang w:val="en-US"/>
              </w:rPr>
            </w:pPr>
            <w:r>
              <w:rPr>
                <w:rFonts w:hint="eastAsia" w:cs="宋体"/>
                <w:sz w:val="24"/>
                <w:szCs w:val="24"/>
                <w:lang w:val="en-US" w:eastAsia="zh-CN"/>
              </w:rPr>
              <w:t>离线调优功能测试与优化</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default" w:cs="宋体"/>
                <w:sz w:val="24"/>
                <w:szCs w:val="24"/>
                <w:lang w:val="en-US" w:eastAsia="zh-CN"/>
              </w:rPr>
            </w:pPr>
            <w:r>
              <w:rPr>
                <w:rFonts w:hint="eastAsia" w:cs="宋体"/>
                <w:sz w:val="24"/>
                <w:szCs w:val="24"/>
                <w:lang w:val="en-US" w:eastAsia="zh-CN"/>
              </w:rPr>
              <w:t>1.3</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实时在线优化系统开发</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271" w:type="dxa"/>
            <w:vAlign w:val="center"/>
          </w:tcPr>
          <w:p>
            <w:pPr>
              <w:pStyle w:val="19"/>
              <w:rPr>
                <w:rFonts w:hint="default" w:cs="宋体"/>
                <w:sz w:val="24"/>
                <w:szCs w:val="24"/>
                <w:lang w:val="en-US" w:eastAsia="zh-CN"/>
              </w:rPr>
            </w:pPr>
            <w:r>
              <w:rPr>
                <w:rFonts w:hint="eastAsia" w:cs="宋体"/>
                <w:sz w:val="24"/>
                <w:szCs w:val="24"/>
                <w:lang w:val="en-US" w:eastAsia="zh-CN"/>
              </w:rPr>
              <w:t>1.3.1</w:t>
            </w:r>
          </w:p>
        </w:tc>
        <w:tc>
          <w:tcPr>
            <w:tcW w:w="4678" w:type="dxa"/>
            <w:vAlign w:val="center"/>
          </w:tcPr>
          <w:p>
            <w:pPr>
              <w:pStyle w:val="19"/>
              <w:rPr>
                <w:rFonts w:hint="eastAsia" w:cs="宋体"/>
                <w:sz w:val="24"/>
                <w:szCs w:val="24"/>
              </w:rPr>
            </w:pPr>
            <w:r>
              <w:rPr>
                <w:rFonts w:hint="eastAsia" w:cs="宋体"/>
                <w:sz w:val="24"/>
                <w:szCs w:val="24"/>
                <w:lang w:val="en-US" w:eastAsia="zh-CN"/>
              </w:rPr>
              <w:t>实时在线优化系统开发</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lang w:val="en-US" w:eastAsia="zh-CN"/>
              </w:rPr>
            </w:pPr>
            <w:r>
              <w:rPr>
                <w:rFonts w:hint="eastAsia" w:cs="宋体"/>
                <w:sz w:val="24"/>
                <w:szCs w:val="24"/>
                <w:lang w:val="en-US" w:eastAsia="zh-CN"/>
              </w:rPr>
              <w:t>1.3.2</w:t>
            </w:r>
          </w:p>
        </w:tc>
        <w:tc>
          <w:tcPr>
            <w:tcW w:w="4678" w:type="dxa"/>
            <w:vAlign w:val="center"/>
          </w:tcPr>
          <w:p>
            <w:pPr>
              <w:pStyle w:val="19"/>
              <w:rPr>
                <w:rFonts w:hint="eastAsia" w:cs="宋体"/>
                <w:sz w:val="24"/>
                <w:szCs w:val="24"/>
              </w:rPr>
            </w:pPr>
            <w:r>
              <w:rPr>
                <w:rFonts w:hint="eastAsia" w:cs="宋体"/>
                <w:sz w:val="24"/>
                <w:szCs w:val="24"/>
                <w:lang w:val="en-US" w:eastAsia="zh-CN"/>
              </w:rPr>
              <w:t>系统测试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lang w:val="en-US" w:eastAsia="zh-CN"/>
              </w:rPr>
            </w:pPr>
            <w:r>
              <w:rPr>
                <w:rFonts w:hint="eastAsia" w:cs="宋体"/>
                <w:sz w:val="24"/>
                <w:szCs w:val="24"/>
                <w:lang w:val="en-US" w:eastAsia="zh-CN"/>
              </w:rPr>
              <w:t>1.3.3</w:t>
            </w:r>
          </w:p>
        </w:tc>
        <w:tc>
          <w:tcPr>
            <w:tcW w:w="4678" w:type="dxa"/>
            <w:vAlign w:val="center"/>
          </w:tcPr>
          <w:p>
            <w:pPr>
              <w:pStyle w:val="19"/>
              <w:rPr>
                <w:rFonts w:hint="eastAsia" w:cs="宋体"/>
                <w:sz w:val="24"/>
                <w:szCs w:val="24"/>
              </w:rPr>
            </w:pPr>
            <w:r>
              <w:rPr>
                <w:rFonts w:hint="eastAsia" w:cs="宋体"/>
                <w:sz w:val="24"/>
                <w:szCs w:val="24"/>
                <w:lang w:val="en-US" w:eastAsia="zh-CN"/>
              </w:rPr>
              <w:t>系统优化</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default" w:eastAsia="宋体" w:cs="宋体"/>
                <w:sz w:val="24"/>
                <w:szCs w:val="24"/>
                <w:lang w:val="en-US" w:eastAsia="zh-CN"/>
              </w:rPr>
            </w:pPr>
            <w:r>
              <w:rPr>
                <w:rFonts w:hint="eastAsia" w:cs="宋体"/>
                <w:sz w:val="24"/>
                <w:szCs w:val="24"/>
                <w:lang w:val="en-US" w:eastAsia="zh-CN"/>
              </w:rPr>
              <w:t>1.4</w:t>
            </w:r>
          </w:p>
        </w:tc>
        <w:tc>
          <w:tcPr>
            <w:tcW w:w="4678" w:type="dxa"/>
            <w:vAlign w:val="center"/>
          </w:tcPr>
          <w:p>
            <w:pPr>
              <w:pStyle w:val="19"/>
              <w:rPr>
                <w:rFonts w:hint="eastAsia" w:eastAsia="宋体" w:cs="宋体"/>
                <w:sz w:val="24"/>
                <w:szCs w:val="24"/>
                <w:lang w:eastAsia="zh-CN"/>
              </w:rPr>
            </w:pPr>
            <w:r>
              <w:rPr>
                <w:rFonts w:hint="eastAsia" w:cs="宋体"/>
                <w:sz w:val="24"/>
                <w:szCs w:val="24"/>
              </w:rPr>
              <w:t>异常预警模型</w:t>
            </w:r>
            <w:r>
              <w:rPr>
                <w:rFonts w:hint="eastAsia" w:cs="宋体"/>
                <w:sz w:val="24"/>
                <w:szCs w:val="24"/>
                <w:lang w:val="en-US" w:eastAsia="zh-CN"/>
              </w:rPr>
              <w:t>建立</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default" w:eastAsia="宋体" w:cs="宋体"/>
                <w:sz w:val="24"/>
                <w:szCs w:val="24"/>
                <w:lang w:val="en-US" w:eastAsia="zh-CN"/>
              </w:rPr>
            </w:pPr>
            <w:r>
              <w:rPr>
                <w:rFonts w:hint="eastAsia" w:cs="宋体"/>
                <w:sz w:val="24"/>
                <w:szCs w:val="24"/>
                <w:lang w:val="en-US" w:eastAsia="zh-CN"/>
              </w:rPr>
              <w:t>1.4.1</w:t>
            </w:r>
          </w:p>
        </w:tc>
        <w:tc>
          <w:tcPr>
            <w:tcW w:w="4678" w:type="dxa"/>
            <w:vAlign w:val="center"/>
          </w:tcPr>
          <w:p>
            <w:pPr>
              <w:pStyle w:val="19"/>
              <w:rPr>
                <w:rFonts w:hint="default" w:cs="宋体"/>
                <w:sz w:val="24"/>
                <w:szCs w:val="24"/>
                <w:lang w:val="en-US"/>
              </w:rPr>
            </w:pPr>
            <w:r>
              <w:rPr>
                <w:rFonts w:hint="eastAsia" w:ascii="宋体" w:hAnsi="宋体" w:eastAsia="宋体" w:cs="宋体"/>
                <w:sz w:val="24"/>
                <w:szCs w:val="24"/>
                <w:lang w:eastAsia="zh-CN"/>
              </w:rPr>
              <w:t>换热器、精馏塔预警</w:t>
            </w:r>
            <w:r>
              <w:rPr>
                <w:rFonts w:hint="eastAsia" w:ascii="宋体" w:hAnsi="宋体" w:eastAsia="宋体" w:cs="宋体"/>
                <w:sz w:val="24"/>
                <w:szCs w:val="24"/>
                <w:lang w:val="en-US" w:eastAsia="zh-CN"/>
              </w:rPr>
              <w:t>模型</w:t>
            </w:r>
            <w:r>
              <w:rPr>
                <w:rFonts w:hint="eastAsia" w:ascii="宋体" w:hAnsi="宋体" w:cs="宋体"/>
                <w:sz w:val="24"/>
                <w:szCs w:val="24"/>
                <w:lang w:val="en-US" w:eastAsia="zh-CN"/>
              </w:rPr>
              <w:t>建立</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lang w:val="en-US" w:eastAsia="zh-CN"/>
              </w:rPr>
              <w:t>1.4.2</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模型测试与优化</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eastAsia="宋体" w:cs="宋体"/>
                <w:sz w:val="24"/>
                <w:szCs w:val="24"/>
                <w:lang w:eastAsia="zh-CN"/>
              </w:rPr>
            </w:pPr>
            <w:r>
              <w:rPr>
                <w:rFonts w:hint="eastAsia" w:cs="宋体"/>
                <w:sz w:val="24"/>
                <w:szCs w:val="24"/>
              </w:rPr>
              <w:t>1.</w:t>
            </w:r>
            <w:r>
              <w:rPr>
                <w:rFonts w:hint="eastAsia" w:cs="宋体"/>
                <w:sz w:val="24"/>
                <w:szCs w:val="24"/>
                <w:lang w:val="en-US" w:eastAsia="zh-CN"/>
              </w:rPr>
              <w:t>5</w:t>
            </w:r>
          </w:p>
        </w:tc>
        <w:tc>
          <w:tcPr>
            <w:tcW w:w="4678" w:type="dxa"/>
            <w:vAlign w:val="center"/>
          </w:tcPr>
          <w:p>
            <w:pPr>
              <w:pStyle w:val="19"/>
              <w:rPr>
                <w:rFonts w:hint="eastAsia" w:cs="宋体"/>
                <w:sz w:val="24"/>
                <w:szCs w:val="24"/>
              </w:rPr>
            </w:pPr>
            <w:r>
              <w:rPr>
                <w:rFonts w:hint="eastAsia" w:cs="宋体"/>
                <w:sz w:val="24"/>
                <w:szCs w:val="24"/>
              </w:rPr>
              <w:t>系统部署及后期维护</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71" w:type="dxa"/>
            <w:vAlign w:val="center"/>
          </w:tcPr>
          <w:p>
            <w:pPr>
              <w:pStyle w:val="19"/>
              <w:rPr>
                <w:rFonts w:hint="default" w:eastAsia="宋体" w:cs="宋体"/>
                <w:sz w:val="24"/>
                <w:szCs w:val="24"/>
                <w:lang w:val="en-US" w:eastAsia="zh-CN"/>
              </w:rPr>
            </w:pPr>
            <w:bookmarkStart w:id="22" w:name="_Toc88234417"/>
            <w:r>
              <w:rPr>
                <w:rFonts w:hint="eastAsia" w:cs="宋体"/>
                <w:sz w:val="24"/>
                <w:szCs w:val="24"/>
                <w:lang w:val="en-US" w:eastAsia="zh-CN"/>
              </w:rPr>
              <w:t>1.5.1</w:t>
            </w:r>
          </w:p>
        </w:tc>
        <w:tc>
          <w:tcPr>
            <w:tcW w:w="4678" w:type="dxa"/>
            <w:vAlign w:val="center"/>
          </w:tcPr>
          <w:p>
            <w:pPr>
              <w:pStyle w:val="19"/>
              <w:rPr>
                <w:rFonts w:hint="default" w:eastAsia="宋体" w:cs="宋体"/>
                <w:sz w:val="24"/>
                <w:szCs w:val="24"/>
                <w:lang w:val="en-US" w:eastAsia="zh-CN"/>
              </w:rPr>
            </w:pPr>
            <w:r>
              <w:rPr>
                <w:rFonts w:hint="eastAsia" w:cs="宋体"/>
                <w:sz w:val="24"/>
                <w:szCs w:val="24"/>
                <w:lang w:val="en-US" w:eastAsia="zh-CN"/>
              </w:rPr>
              <w:t>离线仿真模型、离线调优功能、异常预警模型的部署</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71" w:type="dxa"/>
            <w:vAlign w:val="center"/>
          </w:tcPr>
          <w:p>
            <w:pPr>
              <w:pStyle w:val="19"/>
              <w:rPr>
                <w:rFonts w:hint="eastAsia" w:cs="宋体"/>
                <w:sz w:val="24"/>
                <w:szCs w:val="24"/>
              </w:rPr>
            </w:pPr>
            <w:r>
              <w:rPr>
                <w:rFonts w:hint="eastAsia" w:cs="宋体"/>
                <w:sz w:val="24"/>
                <w:szCs w:val="24"/>
              </w:rPr>
              <w:t>1.</w:t>
            </w:r>
            <w:bookmarkEnd w:id="22"/>
            <w:r>
              <w:rPr>
                <w:rFonts w:hint="eastAsia" w:cs="宋体"/>
                <w:sz w:val="24"/>
                <w:szCs w:val="24"/>
                <w:lang w:val="en-US" w:eastAsia="zh-CN"/>
              </w:rPr>
              <w:t>5</w:t>
            </w:r>
            <w:r>
              <w:rPr>
                <w:rFonts w:hint="eastAsia" w:cs="宋体"/>
                <w:sz w:val="24"/>
                <w:szCs w:val="24"/>
              </w:rPr>
              <w:t>.1</w:t>
            </w:r>
          </w:p>
        </w:tc>
        <w:tc>
          <w:tcPr>
            <w:tcW w:w="4678" w:type="dxa"/>
            <w:vAlign w:val="center"/>
          </w:tcPr>
          <w:p>
            <w:pPr>
              <w:pStyle w:val="19"/>
              <w:rPr>
                <w:rFonts w:hint="eastAsia" w:cs="宋体"/>
                <w:sz w:val="24"/>
                <w:szCs w:val="24"/>
              </w:rPr>
            </w:pPr>
            <w:r>
              <w:rPr>
                <w:rFonts w:hint="eastAsia" w:cs="宋体"/>
                <w:sz w:val="24"/>
                <w:szCs w:val="24"/>
              </w:rPr>
              <w:t>实时</w:t>
            </w:r>
            <w:r>
              <w:rPr>
                <w:rFonts w:hint="eastAsia" w:cs="宋体"/>
                <w:sz w:val="24"/>
                <w:szCs w:val="24"/>
                <w:lang w:val="en-US" w:eastAsia="zh-CN"/>
              </w:rPr>
              <w:t>在线</w:t>
            </w:r>
            <w:r>
              <w:rPr>
                <w:rFonts w:hint="eastAsia" w:cs="宋体"/>
                <w:sz w:val="24"/>
                <w:szCs w:val="24"/>
              </w:rPr>
              <w:t>优化</w:t>
            </w:r>
            <w:r>
              <w:rPr>
                <w:rFonts w:hint="eastAsia" w:cs="宋体"/>
                <w:sz w:val="24"/>
                <w:szCs w:val="24"/>
                <w:lang w:val="en-US" w:eastAsia="zh-CN"/>
              </w:rPr>
              <w:t>系统</w:t>
            </w:r>
            <w:r>
              <w:rPr>
                <w:rFonts w:hint="eastAsia" w:cs="宋体"/>
                <w:sz w:val="24"/>
                <w:szCs w:val="24"/>
              </w:rPr>
              <w:t>、数据库接入</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w:t>
            </w:r>
            <w:r>
              <w:rPr>
                <w:rFonts w:hint="eastAsia" w:cs="宋体"/>
                <w:sz w:val="24"/>
                <w:szCs w:val="24"/>
                <w:lang w:val="en-US" w:eastAsia="zh-CN"/>
              </w:rPr>
              <w:t>5</w:t>
            </w:r>
            <w:r>
              <w:rPr>
                <w:rFonts w:hint="eastAsia" w:cs="宋体"/>
                <w:sz w:val="24"/>
                <w:szCs w:val="24"/>
              </w:rPr>
              <w:t>.2</w:t>
            </w:r>
          </w:p>
        </w:tc>
        <w:tc>
          <w:tcPr>
            <w:tcW w:w="4678" w:type="dxa"/>
            <w:vAlign w:val="center"/>
          </w:tcPr>
          <w:p>
            <w:pPr>
              <w:pStyle w:val="19"/>
              <w:rPr>
                <w:rFonts w:hint="eastAsia" w:cs="宋体"/>
                <w:sz w:val="24"/>
                <w:szCs w:val="24"/>
              </w:rPr>
            </w:pPr>
            <w:r>
              <w:rPr>
                <w:rFonts w:hint="eastAsia" w:cs="宋体"/>
                <w:sz w:val="24"/>
                <w:szCs w:val="24"/>
              </w:rPr>
              <w:t>数据接口测试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271" w:type="dxa"/>
            <w:vAlign w:val="center"/>
          </w:tcPr>
          <w:p>
            <w:pPr>
              <w:pStyle w:val="19"/>
              <w:rPr>
                <w:rFonts w:hint="eastAsia" w:cs="宋体"/>
                <w:sz w:val="24"/>
                <w:szCs w:val="24"/>
              </w:rPr>
            </w:pPr>
            <w:r>
              <w:rPr>
                <w:rFonts w:hint="eastAsia" w:cs="宋体"/>
                <w:sz w:val="24"/>
                <w:szCs w:val="24"/>
              </w:rPr>
              <w:t>1.</w:t>
            </w:r>
            <w:r>
              <w:rPr>
                <w:rFonts w:hint="eastAsia" w:cs="宋体"/>
                <w:sz w:val="24"/>
                <w:szCs w:val="24"/>
                <w:lang w:val="en-US" w:eastAsia="zh-CN"/>
              </w:rPr>
              <w:t>5</w:t>
            </w:r>
            <w:r>
              <w:rPr>
                <w:rFonts w:hint="eastAsia" w:cs="宋体"/>
                <w:sz w:val="24"/>
                <w:szCs w:val="24"/>
              </w:rPr>
              <w:t>.3</w:t>
            </w:r>
          </w:p>
        </w:tc>
        <w:tc>
          <w:tcPr>
            <w:tcW w:w="4678" w:type="dxa"/>
            <w:vAlign w:val="center"/>
          </w:tcPr>
          <w:p>
            <w:pPr>
              <w:pStyle w:val="19"/>
              <w:rPr>
                <w:rFonts w:hint="eastAsia" w:cs="宋体"/>
                <w:sz w:val="24"/>
                <w:szCs w:val="24"/>
              </w:rPr>
            </w:pPr>
            <w:r>
              <w:rPr>
                <w:rFonts w:hint="eastAsia" w:cs="宋体"/>
                <w:sz w:val="24"/>
                <w:szCs w:val="24"/>
              </w:rPr>
              <w:t>实时在线仿真优化系统（RTO）与先进控制系统（APC）联动方案实施与测试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71" w:type="dxa"/>
            <w:vAlign w:val="center"/>
          </w:tcPr>
          <w:p>
            <w:pPr>
              <w:pStyle w:val="19"/>
              <w:rPr>
                <w:rFonts w:hint="eastAsia" w:eastAsia="宋体" w:cs="宋体"/>
                <w:sz w:val="24"/>
                <w:szCs w:val="24"/>
                <w:lang w:val="en-US" w:eastAsia="zh-CN"/>
              </w:rPr>
            </w:pPr>
            <w:r>
              <w:rPr>
                <w:rFonts w:hint="eastAsia" w:cs="宋体"/>
                <w:sz w:val="24"/>
                <w:szCs w:val="24"/>
              </w:rPr>
              <w:t>1.</w:t>
            </w:r>
            <w:r>
              <w:rPr>
                <w:rFonts w:hint="eastAsia" w:cs="宋体"/>
                <w:sz w:val="24"/>
                <w:szCs w:val="24"/>
                <w:lang w:val="en-US" w:eastAsia="zh-CN"/>
              </w:rPr>
              <w:t>6</w:t>
            </w:r>
          </w:p>
        </w:tc>
        <w:tc>
          <w:tcPr>
            <w:tcW w:w="4678" w:type="dxa"/>
            <w:vAlign w:val="center"/>
          </w:tcPr>
          <w:p>
            <w:pPr>
              <w:pStyle w:val="19"/>
              <w:rPr>
                <w:rFonts w:hint="eastAsia" w:cs="宋体"/>
                <w:sz w:val="24"/>
                <w:szCs w:val="24"/>
              </w:rPr>
            </w:pPr>
            <w:r>
              <w:rPr>
                <w:rFonts w:hint="eastAsia" w:cs="宋体"/>
                <w:sz w:val="24"/>
                <w:szCs w:val="24"/>
              </w:rPr>
              <w:t>实时在线仿真优化系统（RTO）开闭环测试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w:t>
            </w:r>
            <w:r>
              <w:rPr>
                <w:rFonts w:hint="eastAsia" w:cs="宋体"/>
                <w:sz w:val="24"/>
                <w:szCs w:val="24"/>
                <w:lang w:val="en-US" w:eastAsia="zh-CN"/>
              </w:rPr>
              <w:t>6</w:t>
            </w:r>
            <w:r>
              <w:rPr>
                <w:rFonts w:hint="eastAsia" w:cs="宋体"/>
                <w:sz w:val="24"/>
                <w:szCs w:val="24"/>
              </w:rPr>
              <w:t>.1</w:t>
            </w:r>
          </w:p>
        </w:tc>
        <w:tc>
          <w:tcPr>
            <w:tcW w:w="4678" w:type="dxa"/>
            <w:vAlign w:val="center"/>
          </w:tcPr>
          <w:p>
            <w:pPr>
              <w:pStyle w:val="19"/>
              <w:rPr>
                <w:rFonts w:hint="eastAsia" w:cs="宋体"/>
                <w:sz w:val="24"/>
                <w:szCs w:val="24"/>
              </w:rPr>
            </w:pPr>
            <w:r>
              <w:rPr>
                <w:rFonts w:hint="eastAsia" w:cs="宋体"/>
                <w:sz w:val="24"/>
                <w:szCs w:val="24"/>
              </w:rPr>
              <w:t>系统开环测试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w:t>
            </w:r>
            <w:r>
              <w:rPr>
                <w:rFonts w:hint="eastAsia" w:cs="宋体"/>
                <w:sz w:val="24"/>
                <w:szCs w:val="24"/>
                <w:lang w:val="en-US" w:eastAsia="zh-CN"/>
              </w:rPr>
              <w:t>6</w:t>
            </w:r>
            <w:r>
              <w:rPr>
                <w:rFonts w:hint="eastAsia" w:cs="宋体"/>
                <w:sz w:val="24"/>
                <w:szCs w:val="24"/>
              </w:rPr>
              <w:t>.2</w:t>
            </w:r>
          </w:p>
        </w:tc>
        <w:tc>
          <w:tcPr>
            <w:tcW w:w="4678" w:type="dxa"/>
            <w:vAlign w:val="center"/>
          </w:tcPr>
          <w:p>
            <w:pPr>
              <w:pStyle w:val="19"/>
              <w:rPr>
                <w:rFonts w:hint="eastAsia" w:cs="宋体"/>
                <w:sz w:val="24"/>
                <w:szCs w:val="24"/>
              </w:rPr>
            </w:pPr>
            <w:r>
              <w:rPr>
                <w:rFonts w:hint="eastAsia" w:cs="宋体"/>
                <w:sz w:val="24"/>
                <w:szCs w:val="24"/>
              </w:rPr>
              <w:t>系统闭环测试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1.</w:t>
            </w:r>
            <w:r>
              <w:rPr>
                <w:rFonts w:hint="eastAsia" w:cs="宋体"/>
                <w:sz w:val="24"/>
                <w:szCs w:val="24"/>
                <w:lang w:val="en-US" w:eastAsia="zh-CN"/>
              </w:rPr>
              <w:t>6</w:t>
            </w:r>
            <w:r>
              <w:rPr>
                <w:rFonts w:hint="eastAsia" w:cs="宋体"/>
                <w:sz w:val="24"/>
                <w:szCs w:val="24"/>
              </w:rPr>
              <w:t>.3</w:t>
            </w:r>
          </w:p>
        </w:tc>
        <w:tc>
          <w:tcPr>
            <w:tcW w:w="4678" w:type="dxa"/>
            <w:vAlign w:val="center"/>
          </w:tcPr>
          <w:p>
            <w:pPr>
              <w:pStyle w:val="19"/>
              <w:rPr>
                <w:rFonts w:hint="eastAsia" w:cs="宋体"/>
                <w:sz w:val="24"/>
                <w:szCs w:val="24"/>
              </w:rPr>
            </w:pPr>
            <w:r>
              <w:rPr>
                <w:rFonts w:hint="eastAsia" w:cs="宋体"/>
                <w:sz w:val="24"/>
                <w:szCs w:val="24"/>
              </w:rPr>
              <w:t>系统实施效果标定</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b/>
                <w:bCs/>
                <w:sz w:val="24"/>
                <w:szCs w:val="24"/>
              </w:rPr>
            </w:pPr>
            <w:r>
              <w:rPr>
                <w:rFonts w:hint="eastAsia" w:cs="宋体"/>
                <w:b/>
                <w:bCs/>
                <w:sz w:val="24"/>
                <w:szCs w:val="24"/>
              </w:rPr>
              <w:t>二</w:t>
            </w:r>
          </w:p>
        </w:tc>
        <w:tc>
          <w:tcPr>
            <w:tcW w:w="4678" w:type="dxa"/>
            <w:vAlign w:val="center"/>
          </w:tcPr>
          <w:p>
            <w:pPr>
              <w:pStyle w:val="19"/>
              <w:rPr>
                <w:rFonts w:hint="eastAsia" w:cs="宋体"/>
                <w:b/>
                <w:bCs/>
                <w:sz w:val="24"/>
                <w:szCs w:val="24"/>
              </w:rPr>
            </w:pPr>
            <w:r>
              <w:rPr>
                <w:rFonts w:hint="eastAsia" w:cs="宋体"/>
                <w:b/>
                <w:bCs/>
                <w:sz w:val="24"/>
                <w:szCs w:val="24"/>
              </w:rPr>
              <w:t>技术培训</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2.1</w:t>
            </w:r>
          </w:p>
        </w:tc>
        <w:tc>
          <w:tcPr>
            <w:tcW w:w="4678" w:type="dxa"/>
            <w:vAlign w:val="center"/>
          </w:tcPr>
          <w:p>
            <w:pPr>
              <w:pStyle w:val="19"/>
              <w:rPr>
                <w:rFonts w:hint="eastAsia" w:cs="宋体"/>
                <w:sz w:val="24"/>
                <w:szCs w:val="24"/>
              </w:rPr>
            </w:pPr>
            <w:r>
              <w:rPr>
                <w:rFonts w:hint="eastAsia" w:cs="宋体"/>
                <w:sz w:val="24"/>
                <w:szCs w:val="24"/>
              </w:rPr>
              <w:t>人员技术培训</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2.2</w:t>
            </w:r>
          </w:p>
        </w:tc>
        <w:tc>
          <w:tcPr>
            <w:tcW w:w="4678" w:type="dxa"/>
            <w:vAlign w:val="center"/>
          </w:tcPr>
          <w:p>
            <w:pPr>
              <w:pStyle w:val="19"/>
              <w:rPr>
                <w:rFonts w:hint="eastAsia" w:cs="宋体"/>
                <w:sz w:val="24"/>
                <w:szCs w:val="24"/>
              </w:rPr>
            </w:pPr>
            <w:r>
              <w:rPr>
                <w:rFonts w:hint="eastAsia" w:cs="宋体"/>
                <w:sz w:val="24"/>
                <w:szCs w:val="24"/>
              </w:rPr>
              <w:t>人员操作培训</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b/>
                <w:bCs/>
                <w:sz w:val="24"/>
                <w:szCs w:val="24"/>
              </w:rPr>
            </w:pPr>
            <w:r>
              <w:rPr>
                <w:rFonts w:hint="eastAsia" w:cs="宋体"/>
                <w:b/>
                <w:bCs/>
                <w:sz w:val="24"/>
                <w:szCs w:val="24"/>
              </w:rPr>
              <w:t>三</w:t>
            </w:r>
          </w:p>
        </w:tc>
        <w:tc>
          <w:tcPr>
            <w:tcW w:w="4678" w:type="dxa"/>
            <w:vAlign w:val="center"/>
          </w:tcPr>
          <w:p>
            <w:pPr>
              <w:pStyle w:val="19"/>
              <w:rPr>
                <w:rFonts w:hint="eastAsia" w:cs="宋体"/>
                <w:b/>
                <w:bCs/>
                <w:sz w:val="24"/>
                <w:szCs w:val="24"/>
              </w:rPr>
            </w:pPr>
            <w:r>
              <w:rPr>
                <w:rFonts w:hint="eastAsia" w:cs="宋体"/>
                <w:b/>
                <w:bCs/>
                <w:sz w:val="24"/>
                <w:szCs w:val="24"/>
              </w:rPr>
              <w:t>现场测试技术服务</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271" w:type="dxa"/>
            <w:vAlign w:val="center"/>
          </w:tcPr>
          <w:p>
            <w:pPr>
              <w:pStyle w:val="19"/>
              <w:rPr>
                <w:rFonts w:hint="eastAsia" w:cs="宋体"/>
                <w:sz w:val="24"/>
                <w:szCs w:val="24"/>
              </w:rPr>
            </w:pPr>
            <w:r>
              <w:rPr>
                <w:rFonts w:hint="eastAsia" w:cs="宋体"/>
                <w:sz w:val="24"/>
                <w:szCs w:val="24"/>
              </w:rPr>
              <w:t>3.1</w:t>
            </w:r>
          </w:p>
        </w:tc>
        <w:tc>
          <w:tcPr>
            <w:tcW w:w="4678" w:type="dxa"/>
            <w:vAlign w:val="center"/>
          </w:tcPr>
          <w:p>
            <w:pPr>
              <w:pStyle w:val="19"/>
              <w:rPr>
                <w:rFonts w:hint="eastAsia" w:cs="宋体"/>
                <w:sz w:val="24"/>
                <w:szCs w:val="24"/>
              </w:rPr>
            </w:pPr>
            <w:r>
              <w:rPr>
                <w:rFonts w:hint="eastAsia" w:cs="宋体"/>
                <w:sz w:val="24"/>
                <w:szCs w:val="24"/>
              </w:rPr>
              <w:t>工厂测试</w:t>
            </w:r>
          </w:p>
        </w:tc>
        <w:tc>
          <w:tcPr>
            <w:tcW w:w="2649" w:type="dxa"/>
          </w:tcPr>
          <w:p>
            <w:pPr>
              <w:pStyle w:val="19"/>
              <w:rPr>
                <w:rFonts w:hint="eastAsia"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71" w:type="dxa"/>
            <w:vAlign w:val="center"/>
          </w:tcPr>
          <w:p>
            <w:pPr>
              <w:pStyle w:val="19"/>
              <w:rPr>
                <w:rFonts w:hint="eastAsia" w:cs="宋体"/>
                <w:sz w:val="24"/>
                <w:szCs w:val="24"/>
              </w:rPr>
            </w:pPr>
            <w:r>
              <w:rPr>
                <w:rFonts w:hint="eastAsia" w:cs="宋体"/>
                <w:sz w:val="24"/>
                <w:szCs w:val="24"/>
              </w:rPr>
              <w:t>3.2</w:t>
            </w:r>
          </w:p>
        </w:tc>
        <w:tc>
          <w:tcPr>
            <w:tcW w:w="4678" w:type="dxa"/>
            <w:vAlign w:val="center"/>
          </w:tcPr>
          <w:p>
            <w:pPr>
              <w:pStyle w:val="19"/>
              <w:rPr>
                <w:rFonts w:hint="eastAsia" w:cs="宋体"/>
                <w:sz w:val="24"/>
                <w:szCs w:val="24"/>
              </w:rPr>
            </w:pPr>
            <w:r>
              <w:rPr>
                <w:rFonts w:hint="eastAsia" w:cs="宋体"/>
                <w:sz w:val="24"/>
                <w:szCs w:val="24"/>
              </w:rPr>
              <w:t>现场测试及技术支持</w:t>
            </w:r>
          </w:p>
        </w:tc>
        <w:tc>
          <w:tcPr>
            <w:tcW w:w="2649" w:type="dxa"/>
          </w:tcPr>
          <w:p>
            <w:pPr>
              <w:pStyle w:val="19"/>
              <w:rPr>
                <w:rFonts w:hint="eastAsia" w:cs="宋体"/>
                <w:sz w:val="24"/>
                <w:szCs w:val="24"/>
              </w:rPr>
            </w:pPr>
          </w:p>
        </w:tc>
      </w:tr>
    </w:tbl>
    <w:p>
      <w:pPr>
        <w:pStyle w:val="17"/>
        <w:spacing w:line="360" w:lineRule="auto"/>
        <w:ind w:firstLine="480" w:firstLineChars="200"/>
        <w:rPr>
          <w:rFonts w:hint="eastAsia" w:ascii="Times New Roman" w:hAnsi="Times New Roman"/>
        </w:rPr>
      </w:pPr>
      <w:r>
        <w:rPr>
          <w:rFonts w:hint="eastAsia" w:ascii="Times New Roman" w:hAnsi="Times New Roman"/>
        </w:rPr>
        <w:t>注：</w:t>
      </w:r>
    </w:p>
    <w:p>
      <w:pPr>
        <w:pStyle w:val="17"/>
        <w:spacing w:line="360" w:lineRule="auto"/>
        <w:ind w:firstLine="480" w:firstLineChars="200"/>
        <w:rPr>
          <w:rFonts w:hint="eastAsia" w:ascii="Times New Roman" w:hAnsi="Times New Roman"/>
        </w:rPr>
      </w:pPr>
      <w:r>
        <w:rPr>
          <w:rFonts w:hint="eastAsia" w:ascii="Times New Roman" w:hAnsi="Times New Roman"/>
        </w:rPr>
        <w:t xml:space="preserve">（1）技术要求书及数据表中存在有不合理或影响产品性能的方面，投标者有责任和义务提出书面意见，供设计和业主参考，共同完善监控子站的功能。投标人无任何理由提供不能满足设计要求的产品。 </w:t>
      </w:r>
    </w:p>
    <w:p>
      <w:pPr>
        <w:pStyle w:val="17"/>
        <w:spacing w:line="360" w:lineRule="auto"/>
        <w:ind w:firstLine="480" w:firstLineChars="200"/>
        <w:rPr>
          <w:rFonts w:hint="eastAsia" w:ascii="Times New Roman" w:hAnsi="Times New Roman"/>
        </w:rPr>
      </w:pPr>
      <w:r>
        <w:rPr>
          <w:rFonts w:hint="eastAsia" w:ascii="Times New Roman" w:hAnsi="Times New Roman"/>
        </w:rPr>
        <w:t>（2）投标人应根据业主及设计的要求，配合提供数字化交付所需的设备参数及文档，用于工程设计单位校核及最终数字化设计成果提交。</w:t>
      </w:r>
    </w:p>
    <w:p>
      <w:pPr>
        <w:pStyle w:val="17"/>
        <w:spacing w:line="360" w:lineRule="auto"/>
        <w:ind w:firstLine="480" w:firstLineChars="200"/>
        <w:rPr>
          <w:rFonts w:hint="eastAsia" w:ascii="Times New Roman" w:hAnsi="Times New Roman"/>
        </w:rPr>
      </w:pPr>
      <w:r>
        <w:rPr>
          <w:rFonts w:hint="eastAsia" w:ascii="Times New Roman" w:hAnsi="Times New Roman"/>
        </w:rPr>
        <w:t>（3）订购的新系统除应满足本规范书外，</w:t>
      </w:r>
      <w:r>
        <w:rPr>
          <w:rFonts w:hint="eastAsia" w:ascii="Times New Roman" w:hAnsi="Times New Roman"/>
          <w:lang w:eastAsia="zh-CN"/>
        </w:rPr>
        <w:t>投标人</w:t>
      </w:r>
      <w:r>
        <w:rPr>
          <w:rFonts w:hint="eastAsia" w:ascii="Times New Roman" w:hAnsi="Times New Roman"/>
        </w:rPr>
        <w:t>还应提供第三方证书。</w:t>
      </w:r>
    </w:p>
    <w:p>
      <w:pPr>
        <w:pStyle w:val="18"/>
        <w:spacing w:line="360" w:lineRule="auto"/>
        <w:ind w:left="0" w:firstLine="480" w:firstLineChars="200"/>
        <w:rPr>
          <w:rFonts w:hint="eastAsia" w:cs="宋体"/>
          <w:sz w:val="24"/>
          <w:szCs w:val="24"/>
        </w:rPr>
      </w:pPr>
      <w:r>
        <w:rPr>
          <w:rFonts w:hint="eastAsia" w:cs="宋体"/>
          <w:sz w:val="24"/>
          <w:szCs w:val="24"/>
        </w:rPr>
        <w:t>（4）</w:t>
      </w:r>
      <w:r>
        <w:rPr>
          <w:rFonts w:hint="eastAsia" w:cs="宋体"/>
          <w:sz w:val="24"/>
          <w:szCs w:val="24"/>
          <w:lang w:eastAsia="zh-CN"/>
        </w:rPr>
        <w:t>投标人</w:t>
      </w:r>
      <w:r>
        <w:rPr>
          <w:rFonts w:hint="eastAsia" w:cs="宋体"/>
          <w:sz w:val="24"/>
          <w:szCs w:val="24"/>
        </w:rPr>
        <w:t>应遵守本规范书中各条款和工作项目的 GB/19000－ISO9000 质量保证体系，该质量保证体系经过国家认证和正常运转。</w:t>
      </w:r>
    </w:p>
    <w:p>
      <w:pPr>
        <w:pStyle w:val="17"/>
        <w:spacing w:line="360" w:lineRule="auto"/>
        <w:ind w:firstLine="480" w:firstLineChars="200"/>
        <w:rPr>
          <w:rFonts w:hint="eastAsia" w:ascii="Times New Roman" w:hAnsi="Times New Roman"/>
        </w:rPr>
      </w:pPr>
      <w:r>
        <w:rPr>
          <w:rFonts w:hint="eastAsia" w:ascii="Times New Roman" w:hAnsi="Times New Roman"/>
        </w:rPr>
        <w:t>（5）投标人应对提供产品的质量、可靠性、使用寿命、技术服务、相关责任等做出承诺。</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w:t>
      </w:r>
      <w:r>
        <w:rPr>
          <w:rFonts w:hint="eastAsia" w:ascii="Times New Roman" w:hAnsi="Times New Roman" w:eastAsia="宋体" w:cs="宋体"/>
          <w:sz w:val="24"/>
          <w:szCs w:val="24"/>
          <w:lang w:val="en-US" w:eastAsia="zh-CN"/>
        </w:rPr>
        <w:t>3</w:t>
      </w:r>
      <w:r>
        <w:rPr>
          <w:rFonts w:hint="eastAsia" w:ascii="Times New Roman" w:hAnsi="Times New Roman" w:eastAsia="宋体" w:cs="宋体"/>
          <w:sz w:val="24"/>
          <w:szCs w:val="24"/>
        </w:rPr>
        <w:t>服务地点</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天津、辽宁。</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w:t>
      </w:r>
      <w:r>
        <w:rPr>
          <w:rFonts w:hint="eastAsia" w:ascii="Times New Roman" w:hAnsi="Times New Roman" w:eastAsia="宋体" w:cs="宋体"/>
          <w:sz w:val="24"/>
          <w:szCs w:val="24"/>
          <w:lang w:val="en-US" w:eastAsia="zh-CN"/>
        </w:rPr>
        <w:t>4</w:t>
      </w:r>
      <w:r>
        <w:rPr>
          <w:rFonts w:hint="eastAsia" w:ascii="Times New Roman" w:hAnsi="Times New Roman" w:eastAsia="宋体" w:cs="宋体"/>
          <w:sz w:val="24"/>
          <w:szCs w:val="24"/>
        </w:rPr>
        <w:t>服务期限</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从项目通过企业验收之日起，提供1年的项目应用运维期。在有效运维期内，提供免费升级与模型维护和技术服务。售后服务方案涵盖服务内容、服务方式、响应能力、响应时间、技术人员构成等内容。</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w:t>
      </w:r>
      <w:r>
        <w:rPr>
          <w:rFonts w:hint="eastAsia" w:ascii="Times New Roman" w:hAnsi="Times New Roman" w:eastAsia="宋体" w:cs="宋体"/>
          <w:sz w:val="24"/>
          <w:szCs w:val="24"/>
          <w:lang w:val="en-US" w:eastAsia="zh-CN"/>
        </w:rPr>
        <w:t>5</w:t>
      </w:r>
      <w:r>
        <w:rPr>
          <w:rFonts w:hint="eastAsia" w:ascii="Times New Roman" w:hAnsi="Times New Roman" w:eastAsia="宋体" w:cs="宋体"/>
          <w:sz w:val="24"/>
          <w:szCs w:val="24"/>
        </w:rPr>
        <w:t>知识产权所有权及使用</w:t>
      </w:r>
    </w:p>
    <w:p>
      <w:pPr>
        <w:widowControl/>
        <w:spacing w:line="360" w:lineRule="auto"/>
        <w:ind w:firstLine="480" w:firstLineChars="200"/>
        <w:rPr>
          <w:rFonts w:hint="eastAsia" w:ascii="Times New Roman" w:hAnsi="Times New Roman" w:eastAsia="宋体" w:cs="宋体"/>
          <w:sz w:val="24"/>
          <w:szCs w:val="24"/>
          <w:lang w:eastAsia="zh-CN"/>
        </w:rPr>
      </w:pPr>
      <w:r>
        <w:rPr>
          <w:rFonts w:ascii="Times New Roman" w:hAnsi="Times New Roman" w:eastAsia="宋体" w:cs="宋体"/>
          <w:sz w:val="24"/>
          <w:szCs w:val="24"/>
          <w:lang w:eastAsia="zh-CN"/>
        </w:rPr>
        <w:t>项目所涉及的商业流程模拟软件的知识产权归属软件开发商。</w:t>
      </w:r>
      <w:r>
        <w:rPr>
          <w:rFonts w:hint="eastAsia" w:ascii="Times New Roman" w:hAnsi="Times New Roman" w:eastAsia="宋体" w:cs="宋体"/>
          <w:sz w:val="24"/>
          <w:szCs w:val="24"/>
          <w:lang w:eastAsia="zh-CN"/>
        </w:rPr>
        <w:t>投标人</w:t>
      </w:r>
      <w:r>
        <w:rPr>
          <w:rFonts w:ascii="Times New Roman" w:hAnsi="Times New Roman" w:eastAsia="宋体" w:cs="宋体"/>
          <w:sz w:val="24"/>
          <w:szCs w:val="24"/>
          <w:lang w:eastAsia="zh-CN"/>
        </w:rPr>
        <w:t>在本项目中所完成的全部系统开发成果（包括新增功能模块、定制化配置及系统实现）</w:t>
      </w:r>
      <w:r>
        <w:rPr>
          <w:rFonts w:hint="eastAsia" w:ascii="Times New Roman" w:hAnsi="Times New Roman" w:eastAsia="宋体" w:cs="宋体"/>
          <w:sz w:val="24"/>
          <w:szCs w:val="24"/>
          <w:lang w:eastAsia="zh-CN"/>
        </w:rPr>
        <w:t>、产生的所有知识产权（论文、专利等）</w:t>
      </w:r>
      <w:r>
        <w:rPr>
          <w:rFonts w:ascii="Times New Roman" w:hAnsi="Times New Roman" w:eastAsia="宋体" w:cs="宋体"/>
          <w:sz w:val="24"/>
          <w:szCs w:val="24"/>
          <w:lang w:eastAsia="zh-CN"/>
        </w:rPr>
        <w:t>其知识产权及相关权益均归</w:t>
      </w:r>
      <w:r>
        <w:rPr>
          <w:rFonts w:hint="eastAsia" w:ascii="Times New Roman" w:hAnsi="Times New Roman" w:eastAsia="宋体" w:cs="宋体"/>
          <w:sz w:val="24"/>
          <w:szCs w:val="24"/>
          <w:lang w:eastAsia="zh-CN"/>
        </w:rPr>
        <w:t>招标人</w:t>
      </w:r>
      <w:r>
        <w:rPr>
          <w:rFonts w:ascii="Times New Roman" w:hAnsi="Times New Roman" w:eastAsia="宋体" w:cs="宋体"/>
          <w:sz w:val="24"/>
          <w:szCs w:val="24"/>
          <w:lang w:eastAsia="zh-CN"/>
        </w:rPr>
        <w:t>所有</w:t>
      </w:r>
      <w:r>
        <w:rPr>
          <w:rFonts w:hint="eastAsia" w:ascii="Times New Roman" w:hAnsi="Times New Roman" w:eastAsia="宋体" w:cs="宋体"/>
          <w:sz w:val="24"/>
          <w:szCs w:val="24"/>
          <w:lang w:eastAsia="zh-CN"/>
        </w:rPr>
        <w:t>，投标人单独使用本协议采办产生的所有知识产权，应征得招标人同意。</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2.</w:t>
      </w:r>
      <w:r>
        <w:rPr>
          <w:rFonts w:hint="eastAsia" w:ascii="Times New Roman" w:hAnsi="Times New Roman" w:eastAsia="宋体" w:cs="宋体"/>
          <w:sz w:val="24"/>
          <w:szCs w:val="24"/>
          <w:lang w:val="en-US" w:eastAsia="zh-CN"/>
        </w:rPr>
        <w:t>6</w:t>
      </w:r>
      <w:r>
        <w:rPr>
          <w:rFonts w:hint="eastAsia" w:ascii="Times New Roman" w:hAnsi="Times New Roman" w:eastAsia="宋体" w:cs="宋体"/>
          <w:sz w:val="24"/>
          <w:szCs w:val="24"/>
        </w:rPr>
        <w:t>资产所有权及使用</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本协议采办产生的所有资产所有权归招标人所有，投标人单独使用本协议采办产生的所有资产，应征得招标人同意。</w:t>
      </w:r>
    </w:p>
    <w:p>
      <w:pPr>
        <w:pStyle w:val="4"/>
        <w:ind w:firstLine="648" w:firstLineChars="200"/>
        <w:rPr>
          <w:rFonts w:hint="eastAsia" w:ascii="Times New Roman" w:hAnsi="Times New Roman" w:eastAsia="宋体" w:cs="宋体"/>
        </w:rPr>
      </w:pPr>
      <w:bookmarkStart w:id="23" w:name="_Toc13248929"/>
      <w:bookmarkStart w:id="24" w:name="_Toc13249326"/>
      <w:r>
        <w:rPr>
          <w:rFonts w:hint="eastAsia" w:ascii="Times New Roman" w:hAnsi="Times New Roman" w:eastAsia="宋体" w:cs="宋体"/>
        </w:rPr>
        <w:t>三、执行标准/规范</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（1）投标人须严格遵循国家各项法律法规，项目所在地政府部门各项规定条例要求。</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（2）投标人需遵循LNG行业及信息技术行业相关的标准规范包括但不限于：</w:t>
      </w:r>
    </w:p>
    <w:p>
      <w:pPr>
        <w:pStyle w:val="19"/>
        <w:adjustRightInd w:val="0"/>
        <w:spacing w:line="360" w:lineRule="auto"/>
        <w:ind w:firstLine="480" w:firstLineChars="200"/>
        <w:jc w:val="left"/>
        <w:rPr>
          <w:rFonts w:hint="eastAsia" w:cs="宋体"/>
          <w:kern w:val="0"/>
          <w:sz w:val="24"/>
          <w:szCs w:val="24"/>
          <w:highlight w:val="none"/>
        </w:rPr>
      </w:pPr>
      <w:r>
        <w:rPr>
          <w:rFonts w:hint="eastAsia" w:cs="宋体"/>
          <w:kern w:val="0"/>
          <w:sz w:val="24"/>
          <w:szCs w:val="24"/>
          <w:highlight w:val="none"/>
        </w:rPr>
        <w:t>《GB/T 44122-2024工业互联网平台工业机理模型开发指南》</w:t>
      </w:r>
    </w:p>
    <w:p>
      <w:pPr>
        <w:pStyle w:val="4"/>
        <w:rPr>
          <w:rFonts w:hint="eastAsia" w:ascii="Times New Roman" w:hAnsi="Times New Roman" w:eastAsia="宋体" w:cs="宋体"/>
        </w:rPr>
      </w:pPr>
      <w:r>
        <w:rPr>
          <w:rFonts w:hint="eastAsia" w:ascii="Times New Roman" w:hAnsi="Times New Roman" w:eastAsia="宋体" w:cs="宋体"/>
        </w:rPr>
        <w:t>四、服务要求</w:t>
      </w:r>
    </w:p>
    <w:p>
      <w:pPr>
        <w:pStyle w:val="4"/>
        <w:ind w:firstLine="488"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4.1进度要求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合同生效后，6个月完成离线仿真、离线调优和实时在线仿真优化系统（RTO）开发、异常预警模型建立与实施工作，并配合先进控制系统（APC）的在线闭环运行（假定现场工艺和设备情况运行良好，否则实时优化闭环运行时间顺延）。</w:t>
      </w:r>
    </w:p>
    <w:p>
      <w:pPr>
        <w:pStyle w:val="4"/>
        <w:ind w:firstLine="488" w:firstLineChars="200"/>
        <w:jc w:val="both"/>
        <w:rPr>
          <w:rFonts w:hint="eastAsia" w:ascii="Times New Roman" w:hAnsi="Times New Roman" w:eastAsia="宋体" w:cs="宋体"/>
          <w:b w:val="0"/>
          <w:bCs w:val="0"/>
          <w:sz w:val="24"/>
          <w:szCs w:val="24"/>
        </w:rPr>
      </w:pPr>
      <w:r>
        <w:rPr>
          <w:rFonts w:hint="eastAsia" w:ascii="Times New Roman" w:hAnsi="Times New Roman" w:eastAsia="宋体" w:cs="宋体"/>
          <w:b w:val="0"/>
          <w:bCs w:val="0"/>
          <w:sz w:val="24"/>
          <w:szCs w:val="24"/>
        </w:rPr>
        <w:t>4.2设计方案要求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（1）通用要求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1）可靠性要求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系统应提供保证数据安全的措施，重要的设备和数据应具有冗余备份，并为系统故障的隔离和排除提供快捷的技术手段。系统任一单点故障均不能影响系统的正常运行。</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系统的重要单元或单元的重要部件应为冗余配置，保证整个系统功能的可用性不受单个故障的影响。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系统应能隔离故障，切除故障应不影响其他各节点的正常运行，并保证故障恢复过程快速而平稳。所有硬件设备包括处理器均应支持热插拔。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2）开放性要求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系统应具有开放系统的体系结构,遵循国际标准，满足开放性要求，选用通用的或者标准化的软硬件产品，包括计算机产品、网络设备、操作系统、网络协议、商用数据库等均遵循国际标准和电力工业标准。</w:t>
      </w:r>
    </w:p>
    <w:p>
      <w:pPr>
        <w:pStyle w:val="18"/>
        <w:spacing w:line="360" w:lineRule="auto"/>
        <w:ind w:left="0" w:firstLine="480" w:firstLineChars="200"/>
        <w:rPr>
          <w:rFonts w:hint="eastAsia" w:cs="宋体"/>
          <w:sz w:val="24"/>
          <w:szCs w:val="24"/>
        </w:rPr>
      </w:pPr>
      <w:r>
        <w:rPr>
          <w:rFonts w:hint="eastAsia" w:cs="宋体"/>
          <w:sz w:val="24"/>
          <w:szCs w:val="24"/>
        </w:rPr>
        <w:t>系统应采用开放式体系结构，提供开放式环境，能支持多种硬件平台，支持平台应采用国际标准开发，所有功能系统之间的接口标准应统一，支持用户应用软件程序的开发。</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3）可维护性要求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系统应具备较高可维护性，具备完整的技术资料（包括自身和第三方软件完整的用户使用和维护手册）。 </w:t>
      </w:r>
    </w:p>
    <w:p>
      <w:pPr>
        <w:pStyle w:val="3"/>
        <w:spacing w:line="360" w:lineRule="auto"/>
        <w:ind w:firstLine="480"/>
        <w:rPr>
          <w:rFonts w:hint="eastAsia" w:ascii="Times New Roman" w:hAnsi="Times New Roman" w:eastAsia="宋体" w:cs="宋体"/>
          <w:sz w:val="24"/>
          <w:szCs w:val="24"/>
          <w:highlight w:val="yellow"/>
          <w:lang w:eastAsia="zh-CN"/>
        </w:rPr>
      </w:pPr>
      <w:r>
        <w:rPr>
          <w:rFonts w:hint="eastAsia" w:ascii="Times New Roman" w:hAnsi="Times New Roman" w:eastAsia="宋体" w:cs="宋体"/>
          <w:sz w:val="24"/>
          <w:szCs w:val="24"/>
          <w:lang w:eastAsia="zh-CN"/>
        </w:rPr>
        <w:t>系统应具备简便、易用的维护诊断工具，使系统维护人员可以迅速、准确的确定异常和故障发生的位置以及原因。</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4）安全性要求</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 xml:space="preserve">《关于加强工业控制系统网络安全管理的通知》 工信部【2011】451 号 </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 xml:space="preserve">《工业自动化和控制系统网络安全》GB/T33007、GB/T33008、GB/T33009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5）实用性要求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离线仿真、离线调优和实时在线仿真优化系统（RTO）开发、异常预警模型建立与实施应针对本项目工艺流程特点，充分满足设备运行要求。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6）灵活性要求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系统体系结构应该能灵活配置，可以支持各种调度管理模式。各功能模块设计相对独立，某一模块的增加和修改不应该影响到其它模块的正常运行。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中所有功能模块（各个服务、人机界面等）应该能够支持主流软硬件平台（硬件设备如HP、DELL、联想等）；为保证数据安全，软件平台应支持Linux或国产操作系统跨平台部署）。相同的模块应该具有一致的图形界面和操作、使用习惯，便于操作人员的使用。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7）扩充性要求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系统容量可扩充，包括可接入的工艺单元数量、系统数据库容量等，不应有设计容量上的限制。 </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 xml:space="preserve">系统功能可扩充，能不断增加新的功能模块，可以整体设计、分布实施。 </w:t>
      </w:r>
    </w:p>
    <w:p>
      <w:pPr>
        <w:pStyle w:val="3"/>
        <w:spacing w:line="360" w:lineRule="auto"/>
        <w:ind w:firstLine="48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 xml:space="preserve">数据结构可扩充。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8）</w:t>
      </w:r>
      <w:r>
        <w:rPr>
          <w:rFonts w:hint="eastAsia" w:ascii="Times New Roman" w:hAnsi="Times New Roman" w:eastAsia="宋体" w:cs="宋体"/>
          <w:sz w:val="24"/>
          <w:szCs w:val="24"/>
          <w:lang w:eastAsia="zh-CN"/>
        </w:rPr>
        <w:t>热力学方法要求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离线仿真优化模型、离线调优功能、实时在线仿真优化系统（RTO）、异常预警模型等在使用时应满足如下热力学要求：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①投标人热力学方法至少包括状态方程（如SRK、PR）、液相活度系数模型（如NRTL、Wilson、UNIFAC等）、液体密度算法关联式、一般关联式、蒸汽压计算等，需根据锦州 20-2 天然气分离厂实际的工艺流程与流体组分，选择天然气加工处理合适的热力学方法，并详细提供所选热力学方法的特点，所选热力学方法满足物性表征与物性计算的需求。热力学方法支持用户自定义修改各相态下物性计算方法。原油切割：支持TBP等蒸馏曲线切割，并将原油的检测数据转化为虚拟组分。</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②热力学工具支持自定义组分、物性分析、物性估算和参数回归功能。物性分析支持纯物质分析、二元分析、混合物分析和PT-包络线功能，支持物性计算。物性估算支持纯组分性质常数估算、温度相关方程参数估算、二元交互作用参数估算，支持配置组分的基团，如UNIFAC基团。参数回归可配置纯物质数据集和混合物数据集，并通过实验数据回归物性参数，自动建立最小二乘目标函数，使用高性能求解器回归纯物质方程参数及二元交互参数，支持热力学一致性检验，支持绘图功能。</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9）</w:t>
      </w:r>
      <w:r>
        <w:rPr>
          <w:rFonts w:hint="eastAsia" w:ascii="Times New Roman" w:hAnsi="Times New Roman" w:eastAsia="宋体" w:cs="宋体"/>
          <w:sz w:val="24"/>
          <w:szCs w:val="24"/>
          <w:lang w:eastAsia="zh-CN"/>
        </w:rPr>
        <w:t>天然气物性的表征要求</w:t>
      </w:r>
    </w:p>
    <w:p>
      <w:pPr>
        <w:pStyle w:val="3"/>
        <w:spacing w:line="360" w:lineRule="auto"/>
        <w:ind w:firstLine="480"/>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t>离线仿真优化模型、离线调优功能、实时在线仿真优化系统（RTO）、异常预警模型等在使用时在天然气物性方面应满足如下要求：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①对于甲烷，乙烷等C6以下的轻组分选择详细的分析数据。</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②对于C6以上的凝析油重组分进行虚拟组分表征，为物性计算提供详实可靠的物性表征数据。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③锦州20-2天然气分离厂制冷单元采用深冷工艺，操作温度低，存在CO2冻堵、形成天然气水合物等固体的风险，投标人可开展天然气物性计算，对CO2冻堵、天然气水合物等固体形成的温度与压力进行准确的计算，包括天然气在水合物生成温度预测下各种抑制剂添加量的优化计算、干冰形成温度计算、高压天然气水露点的精确计算。</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④支持流体物性编辑，支持物性表导入功能，支持编辑流体物性，包括流动物性、PVT表格、组分模型以及单组份模型等。</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10）</w:t>
      </w:r>
      <w:r>
        <w:rPr>
          <w:rFonts w:hint="eastAsia" w:ascii="Times New Roman" w:hAnsi="Times New Roman" w:eastAsia="宋体" w:cs="宋体"/>
          <w:sz w:val="24"/>
          <w:szCs w:val="24"/>
          <w:lang w:eastAsia="zh-CN"/>
        </w:rPr>
        <w:t xml:space="preserve">单元操作要求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离线仿真优化模型、离线调优功能、实时在线仿真优化系统（RTO）、异常预警模型等在使用时</w:t>
      </w:r>
      <w:r>
        <w:rPr>
          <w:rFonts w:hint="eastAsia" w:ascii="Times New Roman" w:hAnsi="Times New Roman" w:eastAsia="宋体" w:cs="宋体"/>
          <w:sz w:val="24"/>
          <w:szCs w:val="24"/>
          <w:lang w:eastAsia="zh-CN"/>
        </w:rPr>
        <w:t>应包含常规单元操作，为后续功能扩展提供技术保障，单元操作应包含常规的物流、冷箱、空冷器、分馏塔、精馏塔、换热器、再沸器、压缩机、膨胀机、泵、闪蒸罐、阀门、反应器、安全阀、孔板、多股流换热器（冷箱）、组分分离器，压缩机模块等单元设备，另外包括物流、能量流模块。</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11）</w:t>
      </w:r>
      <w:r>
        <w:rPr>
          <w:rFonts w:hint="eastAsia" w:ascii="Times New Roman" w:hAnsi="Times New Roman" w:eastAsia="宋体" w:cs="宋体"/>
          <w:sz w:val="24"/>
          <w:szCs w:val="24"/>
          <w:lang w:eastAsia="zh-CN"/>
        </w:rPr>
        <w:t>模型流程应用功能要求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离线仿真优化模型、离线调优功能、实时在线仿真优化系统（RTO）、异常预警模型等在使用时</w:t>
      </w:r>
      <w:r>
        <w:rPr>
          <w:rFonts w:hint="eastAsia" w:ascii="Times New Roman" w:hAnsi="Times New Roman" w:eastAsia="宋体" w:cs="宋体"/>
          <w:sz w:val="24"/>
          <w:szCs w:val="24"/>
          <w:lang w:eastAsia="zh-CN"/>
        </w:rPr>
        <w:t xml:space="preserve">需包含但不限于PXY/TXY相图绘制工具、计算器模块、测量模块、分析模块、子流程模块等虚拟模块，具备循环流股打通、灵敏度分析、变量连接、目标函数配置功能，具备独立的Web API接口、OPC接口。 </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12）</w:t>
      </w:r>
      <w:r>
        <w:rPr>
          <w:rFonts w:hint="eastAsia" w:ascii="Times New Roman" w:hAnsi="Times New Roman" w:eastAsia="宋体" w:cs="宋体"/>
          <w:sz w:val="24"/>
          <w:szCs w:val="24"/>
          <w:lang w:eastAsia="zh-CN"/>
        </w:rPr>
        <w:t>求解器算法要求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离线仿真优化模型、离线调优功能、实时在线仿真优化系统（RTO）、异常预警模型等需</w:t>
      </w:r>
      <w:r>
        <w:rPr>
          <w:rFonts w:hint="eastAsia" w:ascii="Times New Roman" w:hAnsi="Times New Roman" w:eastAsia="宋体" w:cs="宋体"/>
          <w:sz w:val="24"/>
          <w:szCs w:val="24"/>
          <w:lang w:eastAsia="zh-CN"/>
        </w:rPr>
        <w:t>包括但不限于以下算法（至少具备2项），投标人需根据本项目实际情况，选择满足项目要求的优化算法：</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①基于牛顿算法的求解器：该求解器基于牛顿法实现，并采用线搜策略，在每个迭代步选取牛顿步作为方向，通过线搜策略选定步长，进行迭代求解。</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②基于SQP算法的求解器：该求解器使用Reduced Hessian SQP算法，求解连续值域的非线性约束优化问题。</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③基于牛顿折线算法的求解器：该求解器基于信赖域的牛顿折线算法。主要用于求解非线性代数方程组，该求解器算法应具有如下特点：在每个迭代步，定义一个信赖域，并在信赖域内近似方程组函数，寻找迭代方向、降低对初始值的要求；非单调的策略允许方程组函数一定程度的突变或非光滑。</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④非线性无梯度优化算法：通常不需要目标函数的梯度信息，而是通过其他方法来估计目标函数的最优解。常见的非梯度优化算法有遗传算法、粒子群优化。</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⑤线性渐进法（MMA）：把原非线性、非凸问题在当前点做凸近似，构造带移动渐近线的子问题序列，依次求解即可逼近原问题最优解</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⑥智能网格搜索法：一种通过穷举所有可能的超参数组合来找到最佳模型配置的方法。它通常使用一个网格来定义超参数的可能值，然后使用交叉验证来评估每个组合的性能。最后，通过比较不同组合的性能，可以找到最佳的超参数配置。</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⑦MIGA: 混合整数遗传算法。处理连续变量或整数变量，或两者兼而有之。这是基于群体的启发式算法的专有实现，旨在遍历非平滑多模态搜索空间以获取全局解决方案。代理选项包括用于计算效率的 RBF 方案。代理用于目标函数和任何约束。使用线性模型反演建立 RBF 参数。</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⑧Interior Point: 带有过滤搜索方法的内点算法。</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⑨Nelder-Mead: 采用单纯型或Amoeba方法，有一个代理选项可以将单纯形求解器与神经网络结合使用以提高计算效率。</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⑩LEX: 使用单纯形方法和字典方法来处理约束。代理选项包括用于计算效率的径向基函数 (RBF) 方案。代理用于目标函数和任何约束。使用线性模型反演建立RBF 参数。</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⑪ALM: 使用增广拉格朗日乘子 (ALM) 方法解决线性和非线性约束优化问题。ALM是一种属于连续无约束最小化技术类别的方法，它涉及通过增加约束的惩罚分配来解决一系列无约束优化问题，直到满足收敛条件。执行边界兼容程序以确保在无约束优化步骤期间不会在指定边界之外评估目标函数。代理选项包括用于计算效率的RBF方案。代理用于目标函数和任何约束。使用Levenberg-Marquardt方法训练ANN神经网络。使用线性模型反演建立RBF参数。</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⑫MINLP: 该求解器使用内点非线性规划求解器，有效地线性化主要点处的NLP问题，并使用内点法求解相关的LP模型。重复该过程，直到LP的解决方案产生NLP的解决方案。选择代理方案时，MINLP求解器将与RBF代理方案一起使用Bonmin Solver进行计算效率。使用代理模型使求解器能用于混合整数问题，因为其使用所需的导数信息很容易从封闭形式的分析代理模型中获得，并且能够对整数变量进行必要的连续松弛。</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⑬Powell：一种无需衍生工具的优化方法。</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⑭BFGS: 一种拟牛顿方法。</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⑮</w:t>
      </w:r>
      <w:r>
        <w:rPr>
          <w:rFonts w:hint="eastAsia" w:ascii="Times New Roman" w:hAnsi="Times New Roman" w:eastAsia="宋体" w:cs="宋体"/>
          <w:sz w:val="24"/>
          <w:szCs w:val="24"/>
          <w:lang w:eastAsia="zh-CN"/>
        </w:rPr>
        <w:fldChar w:fldCharType="begin"/>
      </w:r>
      <w:r>
        <w:rPr>
          <w:rFonts w:hint="eastAsia" w:ascii="Times New Roman" w:hAnsi="Times New Roman" w:eastAsia="宋体" w:cs="宋体"/>
          <w:sz w:val="24"/>
          <w:szCs w:val="24"/>
          <w:lang w:eastAsia="zh-CN"/>
        </w:rPr>
        <w:instrText xml:space="preserve"> HYPERLINK "https://blog.csdn.net/huangxiaoyanger/article/details/123215929" \t "https://cn.bing.com/_blank" </w:instrText>
      </w:r>
      <w:r>
        <w:rPr>
          <w:rFonts w:hint="eastAsia" w:ascii="Times New Roman" w:hAnsi="Times New Roman" w:eastAsia="宋体" w:cs="宋体"/>
          <w:sz w:val="24"/>
          <w:szCs w:val="24"/>
          <w:lang w:eastAsia="zh-CN"/>
        </w:rPr>
        <w:fldChar w:fldCharType="separate"/>
      </w:r>
      <w:r>
        <w:rPr>
          <w:rFonts w:hint="eastAsia" w:ascii="Times New Roman" w:hAnsi="Times New Roman" w:eastAsia="宋体" w:cs="宋体"/>
          <w:sz w:val="24"/>
          <w:szCs w:val="24"/>
          <w:lang w:eastAsia="zh-CN"/>
        </w:rPr>
        <w:t>鲸鱼优化算法（WOA）</w:t>
      </w:r>
      <w:r>
        <w:rPr>
          <w:rFonts w:hint="eastAsia" w:ascii="Times New Roman" w:hAnsi="Times New Roman" w:eastAsia="宋体" w:cs="宋体"/>
          <w:sz w:val="24"/>
          <w:szCs w:val="24"/>
          <w:lang w:eastAsia="zh-CN"/>
        </w:rPr>
        <w:fldChar w:fldCharType="end"/>
      </w:r>
      <w:r>
        <w:rPr>
          <w:rFonts w:hint="eastAsia" w:ascii="Times New Roman" w:hAnsi="Times New Roman" w:eastAsia="宋体" w:cs="宋体"/>
          <w:sz w:val="24"/>
          <w:szCs w:val="24"/>
          <w:lang w:eastAsia="zh-CN"/>
        </w:rPr>
        <w:t>：一种模拟座头鲸捕猎行为的元启发式优化算法，该算法通过模拟鲸鱼群体搜索、包围和攻击过程来寻找最优解，具有操作简单、参数少、寻优能力强等特点。</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⑯蜣螂优化算法(DBO)：一种新型群体智能优化算法，同时考虑全局探索和局部开发，具有收敛速度快和准确率高的特点，可以有效地解决复杂的寻优问题。</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（2）离线调优、实时在线仿真优化系统（RTO）要求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1）模拟前应充分调研现场实际工况，如处理量、运行压力、运行温度、含油浓度、原料/产品条件等，同时对建模目标、步骤、方法等进行详细描述，形成模拟输入条件供审批。（此条引用GB/T 44122-2024《工业互联网平台工业机理模型开发指南》第7.1条）</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2）采用严格机理模型进行建模，不可掺杂任何数据模型。</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3）实时在线仿真优化系统（RTO）与先进控制系统（APC）可从优化、控制策略上实现联动与协调，保障优化结果执行的切实可行性。</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4）实时在线仿真优化系统（RTO）与先进控制系统（APC）可实现无扰切换，RTO投用/切除过程对先进控制系统（APC）运行不产生波动性影响。</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5）机理模型建模方案灵活，系统稳定性良好，适合不同工况运行，工况变化时无需手动切换模型。</w:t>
      </w:r>
    </w:p>
    <w:p>
      <w:pPr>
        <w:pStyle w:val="17"/>
        <w:spacing w:line="360" w:lineRule="auto"/>
        <w:ind w:firstLine="480" w:firstLineChars="200"/>
        <w:rPr>
          <w:rFonts w:hint="eastAsia" w:ascii="Times New Roman" w:hAnsi="Times New Roman"/>
          <w:color w:val="auto"/>
        </w:rPr>
      </w:pPr>
      <w:r>
        <w:rPr>
          <w:rFonts w:hint="eastAsia" w:ascii="Times New Roman" w:hAnsi="Times New Roman"/>
          <w:color w:val="auto"/>
        </w:rPr>
        <w:t>6）可根据天然气分离工艺新增、配置自定义组分。</w:t>
      </w:r>
    </w:p>
    <w:p>
      <w:pPr>
        <w:pStyle w:val="18"/>
        <w:spacing w:line="360" w:lineRule="auto"/>
        <w:ind w:left="0" w:firstLine="480" w:firstLineChars="200"/>
        <w:rPr>
          <w:rFonts w:hint="eastAsia" w:cs="宋体"/>
          <w:sz w:val="24"/>
          <w:szCs w:val="24"/>
        </w:rPr>
      </w:pPr>
      <w:r>
        <w:rPr>
          <w:rFonts w:hint="eastAsia" w:cs="宋体"/>
          <w:sz w:val="24"/>
          <w:szCs w:val="24"/>
        </w:rPr>
        <w:t>7）具有人机交互界面，操作性良好。</w:t>
      </w:r>
    </w:p>
    <w:p>
      <w:pPr>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8）提供包含但不限于OPC、API等对外数据接口。</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9）具备模拟计算、稳态检测、数据整定、软测量计算、数据读写功能，提供</w:t>
      </w:r>
      <w:r>
        <w:rPr>
          <w:rFonts w:hint="eastAsia" w:ascii="Times New Roman" w:hAnsi="Times New Roman" w:eastAsia="宋体" w:cs="宋体"/>
          <w:sz w:val="24"/>
          <w:szCs w:val="24"/>
          <w:lang w:val="en-US" w:eastAsia="zh-CN"/>
        </w:rPr>
        <w:t>系统</w:t>
      </w:r>
      <w:r>
        <w:rPr>
          <w:rFonts w:hint="eastAsia" w:ascii="Times New Roman" w:hAnsi="Times New Roman" w:eastAsia="宋体" w:cs="宋体"/>
          <w:sz w:val="24"/>
          <w:szCs w:val="24"/>
          <w:lang w:eastAsia="zh-CN"/>
        </w:rPr>
        <w:t>功能展示证明材料。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10）可按一定规则统计装置稳态率、实时在线仿真优化系统（RTO）投用率、系统闭环率等指标。</w:t>
      </w:r>
    </w:p>
    <w:p>
      <w:pPr>
        <w:widowControl/>
        <w:spacing w:line="360" w:lineRule="auto"/>
        <w:ind w:firstLine="480" w:firstLineChars="200"/>
        <w:rPr>
          <w:rFonts w:ascii="Times New Roman" w:hAnsi="Times New Roman"/>
          <w:lang w:eastAsia="zh-CN"/>
        </w:rPr>
      </w:pPr>
      <w:r>
        <w:rPr>
          <w:rFonts w:hint="eastAsia" w:ascii="Times New Roman" w:hAnsi="Times New Roman" w:eastAsia="宋体" w:cs="宋体"/>
          <w:sz w:val="24"/>
          <w:szCs w:val="24"/>
          <w:lang w:eastAsia="zh-CN" w:bidi="ar"/>
        </w:rPr>
        <w:t>（3）</w:t>
      </w:r>
      <w:r>
        <w:rPr>
          <w:rFonts w:hint="eastAsia" w:ascii="宋体" w:hAnsi="宋体" w:eastAsia="宋体" w:cs="宋体"/>
          <w:color w:val="000000"/>
          <w:sz w:val="24"/>
          <w:szCs w:val="24"/>
          <w:lang w:eastAsia="zh-CN" w:bidi="ar"/>
        </w:rPr>
        <w:t>工艺异常预警要求</w:t>
      </w:r>
    </w:p>
    <w:p>
      <w:pPr>
        <w:widowControl/>
        <w:spacing w:line="360" w:lineRule="auto"/>
        <w:ind w:firstLine="480" w:firstLineChars="200"/>
        <w:rPr>
          <w:rFonts w:hint="eastAsia" w:ascii="Times New Roman" w:hAnsi="Times New Roman" w:eastAsia="宋体" w:cs="宋体"/>
          <w:sz w:val="24"/>
          <w:szCs w:val="24"/>
          <w:highlight w:val="yellow"/>
          <w:lang w:eastAsia="zh-CN"/>
        </w:rPr>
      </w:pPr>
      <w:r>
        <w:rPr>
          <w:rFonts w:hint="eastAsia" w:ascii="Times New Roman" w:hAnsi="Times New Roman" w:eastAsia="宋体" w:cs="宋体"/>
          <w:sz w:val="24"/>
          <w:szCs w:val="24"/>
          <w:lang w:eastAsia="zh-CN"/>
        </w:rPr>
        <w:t>通过建立常见异常工况场景分析预警模型，对工艺流程、仪表状态、设备状态以及工艺介质状态等参数进行在线诊断，对关键指标进行加速运行分析，提示异常产生根源，实现状态变化预测预警，及时指导现场人员采取措施，包括但不限于换热器预警、精馏塔预警。</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4.3服务实施具体要求</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 xml:space="preserve">4.3.1离线仿真要求 </w:t>
      </w:r>
    </w:p>
    <w:p>
      <w:pPr>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（1）收集工艺设计数据，包括装置PFD图、物流数据表、P&amp;ID图、工艺流程说明，供流程建模使用。</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（2）收集生产数据，根据工艺仿真建模所需的输入数据，梳理装置点位表，明确数据精度和采样周期要求，与招标人一起完成装置稳定状态下的DCS数据、化验分析数据和其它相关数据的收集工作。</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（3）根据锦州20-2天然气分离厂的实际工艺流程，使用</w:t>
      </w:r>
      <w:r>
        <w:rPr>
          <w:rFonts w:ascii="Times New Roman" w:hAnsi="Times New Roman" w:eastAsia="宋体" w:cs="宋体"/>
          <w:sz w:val="24"/>
          <w:szCs w:val="24"/>
          <w:lang w:eastAsia="zh-CN"/>
        </w:rPr>
        <w:t>建立核心单元的</w:t>
      </w:r>
      <w:r>
        <w:rPr>
          <w:rFonts w:hint="eastAsia" w:ascii="Times New Roman" w:hAnsi="Times New Roman" w:eastAsia="宋体" w:cs="宋体"/>
          <w:sz w:val="24"/>
          <w:szCs w:val="24"/>
          <w:lang w:eastAsia="zh-CN"/>
        </w:rPr>
        <w:t>严格机理模型，实现对于装置工艺流程的精准描述。</w:t>
      </w:r>
    </w:p>
    <w:p>
      <w:pPr>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（4）使用实际生产数据对机理模型进行校准，保证关键工艺参数的模拟结果与实际生产数据的偏差≤5%。</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4.3.2离线调优要求</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highlight w:val="none"/>
          <w:lang w:eastAsia="zh-CN"/>
        </w:rPr>
        <w:t>本项目为天然气制冷单元、分馏单元提供实时在线优化，目标</w:t>
      </w:r>
      <w:r>
        <w:rPr>
          <w:rFonts w:hint="eastAsia" w:ascii="Times New Roman" w:hAnsi="Times New Roman" w:eastAsia="宋体" w:cs="宋体"/>
          <w:sz w:val="24"/>
          <w:szCs w:val="24"/>
          <w:lang w:eastAsia="zh-CN"/>
        </w:rPr>
        <w:t>在于满足锦州20-2天然气分离厂工艺及设备约束条件的基础上实</w:t>
      </w:r>
      <w:r>
        <w:rPr>
          <w:rFonts w:ascii="Times New Roman" w:hAnsi="Times New Roman" w:eastAsia="宋体" w:cs="宋体"/>
          <w:sz w:val="24"/>
          <w:szCs w:val="24"/>
          <w:lang w:eastAsia="zh-CN"/>
        </w:rPr>
        <w:t>现经济效益最优，用户可以根据生产优化的需求，设置不同的优化方向为实时在线优化的目标函数，</w:t>
      </w:r>
      <w:r>
        <w:rPr>
          <w:rFonts w:hint="eastAsia" w:ascii="Times New Roman" w:hAnsi="Times New Roman" w:eastAsia="宋体" w:cs="宋体"/>
          <w:sz w:val="24"/>
          <w:szCs w:val="24"/>
          <w:lang w:eastAsia="zh-CN"/>
        </w:rPr>
        <w:t>优化系统应能应用各种调优方法及最优化技术等数学工具，寻求实</w:t>
      </w:r>
      <w:r>
        <w:rPr>
          <w:rFonts w:ascii="Times New Roman" w:hAnsi="Times New Roman" w:eastAsia="宋体" w:cs="宋体"/>
          <w:sz w:val="24"/>
          <w:szCs w:val="24"/>
          <w:lang w:eastAsia="zh-CN"/>
        </w:rPr>
        <w:t>际过程系统操作条件的改进方案，即最佳操作方案，以获得显著经济效益。</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首先，应该开发数据整定算法对输入的数据进行预处理，支持数据过滤，采用统计学和优化算法对流量、温度等数据进行过失误差检测以及基于物料平衡和能量平衡的数据整定，将实时数据转化为满足物料和能量平衡的数据，满足后续模拟优化工作的需求。</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其次，根据</w:t>
      </w:r>
      <w:r>
        <w:rPr>
          <w:rFonts w:hint="eastAsia" w:ascii="Times New Roman" w:hAnsi="Times New Roman" w:eastAsia="宋体" w:cs="宋体"/>
          <w:sz w:val="24"/>
          <w:szCs w:val="24"/>
          <w:lang w:val="en-US" w:eastAsia="zh-CN"/>
        </w:rPr>
        <w:t>招标人</w:t>
      </w:r>
      <w:r>
        <w:rPr>
          <w:rFonts w:hint="eastAsia" w:ascii="Times New Roman" w:hAnsi="Times New Roman" w:eastAsia="宋体" w:cs="宋体"/>
          <w:sz w:val="24"/>
          <w:szCs w:val="24"/>
          <w:lang w:eastAsia="zh-CN"/>
        </w:rPr>
        <w:t>业务需求，建立优化目标函数，比如液烃产品收率最大或能耗最低。根据实际工艺操作条件，确定可调优参数变量和约束条件。</w:t>
      </w:r>
    </w:p>
    <w:p>
      <w:pPr>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最后，</w:t>
      </w:r>
      <w:r>
        <w:rPr>
          <w:rFonts w:ascii="Times New Roman" w:hAnsi="Times New Roman" w:eastAsia="宋体" w:cs="宋体"/>
          <w:sz w:val="24"/>
          <w:szCs w:val="24"/>
          <w:lang w:eastAsia="zh-CN"/>
        </w:rPr>
        <w:t>采用</w:t>
      </w:r>
      <w:r>
        <w:rPr>
          <w:rFonts w:hint="eastAsia" w:ascii="Times New Roman" w:hAnsi="Times New Roman" w:eastAsia="宋体" w:cs="宋体"/>
          <w:sz w:val="24"/>
          <w:szCs w:val="24"/>
          <w:lang w:eastAsia="zh-CN"/>
        </w:rPr>
        <w:t>优化算法</w:t>
      </w:r>
      <w:r>
        <w:rPr>
          <w:rFonts w:ascii="Times New Roman" w:hAnsi="Times New Roman" w:eastAsia="宋体" w:cs="宋体"/>
          <w:sz w:val="24"/>
          <w:szCs w:val="24"/>
          <w:lang w:eastAsia="zh-CN"/>
        </w:rPr>
        <w:t>实现对天然气制冷单元、天然气分馏单元的离线调优。</w:t>
      </w:r>
    </w:p>
    <w:p>
      <w:pPr>
        <w:spacing w:line="360" w:lineRule="auto"/>
        <w:ind w:firstLine="480" w:firstLineChars="200"/>
        <w:rPr>
          <w:rFonts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val="en-US" w:eastAsia="zh-CN"/>
        </w:rPr>
        <w:t>4.3.3</w:t>
      </w:r>
      <w:r>
        <w:rPr>
          <w:rFonts w:hint="eastAsia" w:ascii="Times New Roman" w:hAnsi="Times New Roman" w:eastAsia="宋体" w:cs="宋体"/>
          <w:sz w:val="24"/>
          <w:szCs w:val="24"/>
          <w:highlight w:val="none"/>
          <w:lang w:eastAsia="zh-CN"/>
        </w:rPr>
        <w:t>实时在线优化要求</w:t>
      </w:r>
    </w:p>
    <w:p>
      <w:pPr>
        <w:spacing w:line="360" w:lineRule="auto"/>
        <w:ind w:firstLine="480" w:firstLineChars="200"/>
        <w:rPr>
          <w:rFonts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val="en-US" w:eastAsia="zh-CN"/>
        </w:rPr>
        <w:t>投标人</w:t>
      </w:r>
      <w:r>
        <w:rPr>
          <w:rFonts w:hint="eastAsia" w:ascii="Times New Roman" w:hAnsi="Times New Roman" w:eastAsia="宋体" w:cs="宋体"/>
          <w:sz w:val="24"/>
          <w:szCs w:val="24"/>
          <w:highlight w:val="none"/>
          <w:lang w:eastAsia="zh-CN"/>
        </w:rPr>
        <w:t>应根据现场实际情况完成实时在线优化系统的开发和部署，实时优化系统应能够通过现场数据库开发标准数据接口（OPC标准接口）实现历史数据采集和实时数据接入，接入实时数据后，实时在线优化系统自动实现整个工艺流程的关键参数计算，并且可以根据目标函数，</w:t>
      </w:r>
      <w:r>
        <w:rPr>
          <w:rFonts w:ascii="Times New Roman" w:hAnsi="Times New Roman" w:eastAsia="宋体" w:cs="宋体"/>
          <w:sz w:val="24"/>
          <w:szCs w:val="24"/>
          <w:highlight w:val="none"/>
          <w:lang w:eastAsia="zh-CN"/>
        </w:rPr>
        <w:t>实时计算最优的操作调优变量</w:t>
      </w:r>
      <w:r>
        <w:rPr>
          <w:rFonts w:hint="eastAsia" w:ascii="Times New Roman" w:hAnsi="Times New Roman" w:eastAsia="宋体" w:cs="宋体"/>
          <w:sz w:val="24"/>
          <w:szCs w:val="24"/>
          <w:highlight w:val="none"/>
          <w:lang w:eastAsia="zh-CN"/>
        </w:rPr>
        <w:t>，</w:t>
      </w:r>
      <w:r>
        <w:rPr>
          <w:rFonts w:ascii="Times New Roman" w:hAnsi="Times New Roman" w:eastAsia="宋体" w:cs="宋体"/>
          <w:sz w:val="24"/>
          <w:szCs w:val="24"/>
          <w:highlight w:val="none"/>
          <w:lang w:eastAsia="zh-CN"/>
        </w:rPr>
        <w:t>使目标函数最大化或最小化，</w:t>
      </w:r>
      <w:r>
        <w:rPr>
          <w:rFonts w:hint="eastAsia" w:ascii="Times New Roman" w:hAnsi="Times New Roman" w:eastAsia="宋体" w:cs="宋体"/>
          <w:sz w:val="24"/>
          <w:szCs w:val="24"/>
          <w:highlight w:val="none"/>
          <w:lang w:eastAsia="zh-CN"/>
        </w:rPr>
        <w:t>以</w:t>
      </w:r>
      <w:r>
        <w:rPr>
          <w:rFonts w:ascii="Times New Roman" w:hAnsi="Times New Roman" w:eastAsia="宋体" w:cs="宋体"/>
          <w:sz w:val="24"/>
          <w:szCs w:val="24"/>
          <w:highlight w:val="none"/>
          <w:lang w:eastAsia="zh-CN"/>
        </w:rPr>
        <w:t>提高装置经济效益。</w:t>
      </w:r>
    </w:p>
    <w:p>
      <w:pPr>
        <w:spacing w:line="360" w:lineRule="auto"/>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eastAsia="zh-CN"/>
        </w:rPr>
        <w:t>部署完成之后，投标人应在遵守业主操作规范和要求的前提下，对实时在线优化系统（RTO）进行充分的开环测试，保证实时在线仿真优化系统（RTO）投用率不低于85%，在线率大于96%。</w:t>
      </w:r>
    </w:p>
    <w:p>
      <w:pPr>
        <w:spacing w:line="360" w:lineRule="auto"/>
        <w:ind w:firstLine="480" w:firstLineChars="200"/>
        <w:rPr>
          <w:rFonts w:ascii="Times New Roman" w:hAnsi="Times New Roman" w:eastAsia="宋体" w:cs="宋体"/>
          <w:sz w:val="24"/>
          <w:szCs w:val="24"/>
          <w:highlight w:val="none"/>
          <w:lang w:eastAsia="zh-CN"/>
        </w:rPr>
      </w:pPr>
      <w:r>
        <w:rPr>
          <w:rFonts w:hint="eastAsia" w:ascii="Times New Roman" w:hAnsi="Times New Roman" w:eastAsia="宋体" w:cs="宋体"/>
          <w:sz w:val="24"/>
          <w:szCs w:val="24"/>
          <w:highlight w:val="none"/>
          <w:lang w:val="en-US" w:eastAsia="zh-CN"/>
        </w:rPr>
        <w:t>4.3.4</w:t>
      </w:r>
      <w:r>
        <w:rPr>
          <w:rFonts w:hint="eastAsia" w:ascii="Times New Roman" w:hAnsi="Times New Roman" w:eastAsia="宋体" w:cs="宋体"/>
          <w:sz w:val="24"/>
          <w:szCs w:val="24"/>
          <w:highlight w:val="none"/>
          <w:lang w:eastAsia="zh-CN"/>
        </w:rPr>
        <w:t>与APC闭环联动要求</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本项目要求</w:t>
      </w:r>
      <w:r>
        <w:rPr>
          <w:rFonts w:ascii="Times New Roman" w:hAnsi="Times New Roman" w:eastAsia="宋体" w:cs="宋体"/>
          <w:sz w:val="24"/>
          <w:szCs w:val="24"/>
          <w:lang w:eastAsia="zh-CN"/>
        </w:rPr>
        <w:t>实时在线优化结果应可以作为先进控制系统目标值手动（开环）或自动（闭环）回写到先进控制系统中，实现全装置的优化开环或闭环控制。</w:t>
      </w:r>
      <w:r>
        <w:rPr>
          <w:rFonts w:hint="eastAsia" w:ascii="Times New Roman" w:hAnsi="Times New Roman" w:eastAsia="宋体" w:cs="宋体"/>
          <w:sz w:val="24"/>
          <w:szCs w:val="24"/>
          <w:lang w:val="en-US" w:eastAsia="zh-CN"/>
        </w:rPr>
        <w:t>投标人</w:t>
      </w:r>
      <w:r>
        <w:rPr>
          <w:rFonts w:hint="eastAsia" w:ascii="Times New Roman" w:hAnsi="Times New Roman" w:eastAsia="宋体" w:cs="宋体"/>
          <w:sz w:val="24"/>
          <w:szCs w:val="24"/>
          <w:lang w:eastAsia="zh-CN"/>
        </w:rPr>
        <w:t>应现场配合APC厂家一起完成实时在线优化系统与先进控制系统的联合调试，闭环测试充分，闭环测试结果需经过业主认可。</w:t>
      </w:r>
    </w:p>
    <w:p>
      <w:pPr>
        <w:spacing w:line="360" w:lineRule="auto"/>
        <w:ind w:firstLine="480" w:firstLineChars="200"/>
        <w:rPr>
          <w:rFonts w:ascii="Times New Roman" w:hAnsi="Times New Roman" w:eastAsia="宋体" w:cs="宋体"/>
          <w:sz w:val="24"/>
          <w:szCs w:val="24"/>
          <w:lang w:eastAsia="zh-CN"/>
        </w:rPr>
      </w:pPr>
      <w:r>
        <w:rPr>
          <w:rFonts w:hint="eastAsia" w:ascii="Times New Roman" w:hAnsi="Times New Roman" w:eastAsia="宋体" w:cs="宋体"/>
          <w:sz w:val="24"/>
          <w:szCs w:val="24"/>
          <w:lang w:eastAsia="zh-CN"/>
        </w:rPr>
        <w:t>系统</w:t>
      </w:r>
      <w:r>
        <w:rPr>
          <w:rFonts w:ascii="Times New Roman" w:hAnsi="Times New Roman" w:eastAsia="宋体" w:cs="宋体"/>
          <w:sz w:val="24"/>
          <w:szCs w:val="24"/>
          <w:lang w:eastAsia="zh-CN"/>
        </w:rPr>
        <w:t>需具备安全保护、一键切除、优化投用判断等功能</w:t>
      </w:r>
      <w:r>
        <w:rPr>
          <w:rFonts w:hint="eastAsia" w:ascii="Times New Roman" w:hAnsi="Times New Roman" w:eastAsia="宋体" w:cs="宋体"/>
          <w:sz w:val="24"/>
          <w:szCs w:val="24"/>
          <w:lang w:eastAsia="zh-CN"/>
        </w:rPr>
        <w:t>。</w:t>
      </w:r>
    </w:p>
    <w:p>
      <w:pPr>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闭环实时优化系统在线投用率不小于70%。</w:t>
      </w:r>
    </w:p>
    <w:p>
      <w:pPr>
        <w:pStyle w:val="11"/>
        <w:spacing w:line="360" w:lineRule="auto"/>
        <w:ind w:firstLine="480" w:firstLineChars="200"/>
        <w:jc w:val="both"/>
        <w:rPr>
          <w:rFonts w:hint="eastAsia" w:ascii="Times New Roman" w:hAnsi="Times New Roman" w:eastAsia="宋体" w:cs="宋体"/>
          <w:b w:val="0"/>
          <w:bCs w:val="0"/>
          <w:sz w:val="24"/>
          <w:highlight w:val="none"/>
          <w:lang w:eastAsia="zh-CN"/>
        </w:rPr>
      </w:pPr>
      <w:r>
        <w:rPr>
          <w:rFonts w:hint="eastAsia" w:ascii="Times New Roman" w:hAnsi="Times New Roman" w:eastAsia="宋体" w:cs="宋体"/>
          <w:b w:val="0"/>
          <w:bCs w:val="0"/>
          <w:sz w:val="24"/>
          <w:highlight w:val="none"/>
          <w:lang w:val="en-US" w:eastAsia="zh-CN"/>
        </w:rPr>
        <w:t>4.3.5</w:t>
      </w:r>
      <w:r>
        <w:rPr>
          <w:rFonts w:hint="eastAsia" w:ascii="Times New Roman" w:hAnsi="Times New Roman" w:eastAsia="宋体" w:cs="宋体"/>
          <w:b w:val="0"/>
          <w:bCs w:val="0"/>
          <w:sz w:val="24"/>
          <w:highlight w:val="none"/>
          <w:lang w:eastAsia="zh-CN"/>
        </w:rPr>
        <w:t>工艺异常预警要求</w:t>
      </w:r>
    </w:p>
    <w:p>
      <w:pPr>
        <w:pStyle w:val="11"/>
        <w:spacing w:line="360" w:lineRule="auto"/>
        <w:ind w:firstLine="480" w:firstLineChars="200"/>
        <w:jc w:val="both"/>
        <w:rPr>
          <w:rFonts w:hint="eastAsia" w:ascii="Times New Roman" w:hAnsi="Times New Roman" w:eastAsia="宋体" w:cs="宋体"/>
          <w:b w:val="0"/>
          <w:bCs w:val="0"/>
          <w:sz w:val="24"/>
          <w:lang w:eastAsia="zh-CN"/>
        </w:rPr>
      </w:pPr>
      <w:r>
        <w:rPr>
          <w:rFonts w:hint="eastAsia" w:ascii="Times New Roman" w:hAnsi="Times New Roman" w:eastAsia="宋体" w:cs="宋体"/>
          <w:b w:val="0"/>
          <w:bCs w:val="0"/>
          <w:sz w:val="24"/>
          <w:lang w:eastAsia="zh-CN"/>
        </w:rPr>
        <w:t>通过实时在线优化系统的机理模型，对关键装置进行详细的设备性能核算，从而实现对装置关键指标的预测预警，能够指导现场操作人员进行预测性维护，具体包括：</w:t>
      </w:r>
    </w:p>
    <w:p>
      <w:pPr>
        <w:pStyle w:val="11"/>
        <w:spacing w:line="360" w:lineRule="auto"/>
        <w:ind w:firstLine="480" w:firstLineChars="200"/>
        <w:jc w:val="both"/>
        <w:rPr>
          <w:rFonts w:hint="eastAsia" w:ascii="Times New Roman" w:hAnsi="Times New Roman" w:eastAsia="宋体" w:cs="宋体"/>
          <w:b w:val="0"/>
          <w:bCs w:val="0"/>
          <w:sz w:val="24"/>
          <w:lang w:eastAsia="zh-CN"/>
        </w:rPr>
      </w:pPr>
      <w:r>
        <w:rPr>
          <w:rFonts w:hint="eastAsia" w:ascii="Times New Roman" w:hAnsi="Times New Roman" w:eastAsia="宋体" w:cs="宋体"/>
          <w:b w:val="0"/>
          <w:bCs w:val="0"/>
          <w:sz w:val="24"/>
          <w:lang w:eastAsia="zh-CN"/>
        </w:rPr>
        <w:t xml:space="preserve">1）换热器预警：能够实时计算热阻系数和结垢系数，进行结垢系数和换热效率超限预警。 </w:t>
      </w:r>
    </w:p>
    <w:p>
      <w:pPr>
        <w:spacing w:line="360" w:lineRule="auto"/>
        <w:ind w:firstLine="480" w:firstLineChars="200"/>
        <w:rPr>
          <w:rFonts w:ascii="Times New Roman" w:hAnsi="Times New Roman"/>
          <w:lang w:eastAsia="zh-CN"/>
        </w:rPr>
      </w:pPr>
      <w:r>
        <w:rPr>
          <w:rFonts w:hint="eastAsia" w:ascii="Times New Roman" w:hAnsi="Times New Roman" w:eastAsia="宋体" w:cs="宋体"/>
          <w:sz w:val="24"/>
          <w:szCs w:val="24"/>
          <w:lang w:eastAsia="zh-CN"/>
        </w:rPr>
        <w:t>2）精馏塔预警：包括液泛、漏液、过度精馏、热量不平衡等异常预警，能够提供操作指导。</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4.3.8</w:t>
      </w:r>
      <w:r>
        <w:rPr>
          <w:rFonts w:hint="eastAsia" w:ascii="Times New Roman" w:hAnsi="Times New Roman" w:eastAsia="宋体" w:cs="宋体"/>
          <w:sz w:val="24"/>
          <w:szCs w:val="24"/>
          <w:lang w:eastAsia="zh-CN"/>
        </w:rPr>
        <w:t>其他要求</w:t>
      </w:r>
    </w:p>
    <w:p>
      <w:pPr>
        <w:pStyle w:val="17"/>
        <w:spacing w:line="360" w:lineRule="auto"/>
        <w:ind w:firstLine="480" w:firstLineChars="200"/>
        <w:rPr>
          <w:rFonts w:ascii="Times New Roman" w:hAnsi="Times New Roman"/>
          <w:b/>
          <w:bCs/>
        </w:rPr>
      </w:pPr>
      <w:r>
        <w:rPr>
          <w:rFonts w:hint="eastAsia" w:ascii="Times New Roman" w:hAnsi="Times New Roman"/>
          <w:color w:val="auto"/>
        </w:rPr>
        <w:t>1）</w:t>
      </w:r>
      <w:r>
        <w:rPr>
          <w:rFonts w:hint="eastAsia" w:ascii="Times New Roman" w:hAnsi="Times New Roman"/>
          <w:kern w:val="2"/>
        </w:rPr>
        <w:t>装置的工艺和控制数据等工控网内部的数据，通过原中控系统（和利时）授权后的OPC接口中获取，获取中控系统OPC数据产生的授权及接口费用由投标人承担。</w:t>
      </w:r>
    </w:p>
    <w:p>
      <w:pPr>
        <w:pStyle w:val="17"/>
        <w:spacing w:line="360" w:lineRule="auto"/>
        <w:ind w:firstLine="480" w:firstLineChars="200"/>
        <w:rPr>
          <w:rFonts w:hint="eastAsia" w:ascii="Times New Roman" w:hAnsi="Times New Roman"/>
          <w:color w:val="auto"/>
        </w:rPr>
      </w:pPr>
      <w:r>
        <w:rPr>
          <w:rFonts w:hint="eastAsia" w:ascii="Times New Roman" w:hAnsi="Times New Roman"/>
          <w:color w:val="auto"/>
        </w:rPr>
        <w:t>2）流程模拟离线模拟结果主要指标与装置操作实际指标准确度不小于95%；实时优化系统在线投用模型与实际数据比较，准确度不小于92%；实时优化系统模型计算时间不大于5分钟；</w:t>
      </w:r>
      <w:r>
        <w:rPr>
          <w:rFonts w:hint="eastAsia" w:ascii="Times New Roman" w:hAnsi="Times New Roman"/>
          <w:lang w:bidi="ar"/>
        </w:rPr>
        <w:t>装置总体经济效益提升不低于0.5%</w:t>
      </w:r>
      <w:r>
        <w:rPr>
          <w:rFonts w:hint="eastAsia" w:ascii="Times New Roman" w:hAnsi="Times New Roman"/>
          <w:color w:val="auto"/>
        </w:rPr>
        <w:t>。</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4.4人员要求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（1）通用要求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1）投标人按招标人需求配置作业服务人员，按月度进行考勤记录；</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2）所有现场配置人员入场前需提供服务人员简历表报招标人，得到招标人认可后方可持证上岗；</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3）投标人负责服务人员的行政管理，如有人事变更前需提前告知招标人后决议。</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（2）人员要求</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项目经理1名、技术负责人1名及项目工程师若干。</w:t>
      </w:r>
    </w:p>
    <w:p>
      <w:pPr>
        <w:pStyle w:val="3"/>
        <w:numPr>
          <w:ilvl w:val="0"/>
          <w:numId w:val="1"/>
        </w:numPr>
        <w:spacing w:line="360" w:lineRule="auto"/>
        <w:ind w:left="0"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项目经理</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①具有5年及以上流程模拟或实时在线仿真优化系统（RTO）项目工作经验；</w:t>
      </w:r>
    </w:p>
    <w:p>
      <w:pPr>
        <w:pStyle w:val="3"/>
        <w:spacing w:line="360" w:lineRule="auto"/>
        <w:ind w:firstLine="480"/>
        <w:rPr>
          <w:rFonts w:hint="eastAsia" w:ascii="Times New Roman" w:hAnsi="Times New Roman" w:eastAsia="宋体" w:cs="宋体"/>
          <w:spacing w:val="2"/>
          <w:sz w:val="24"/>
          <w:szCs w:val="24"/>
          <w:lang w:eastAsia="zh-CN"/>
        </w:rPr>
      </w:pPr>
      <w:r>
        <w:rPr>
          <w:rFonts w:hint="eastAsia" w:ascii="Times New Roman" w:hAnsi="Times New Roman" w:eastAsia="宋体" w:cs="宋体"/>
          <w:sz w:val="24"/>
          <w:szCs w:val="24"/>
          <w:lang w:eastAsia="zh-CN"/>
        </w:rPr>
        <w:t>②至少担任过2个实时在线仿真优化系统（RTO）项目经理</w:t>
      </w:r>
      <w:r>
        <w:rPr>
          <w:rFonts w:hint="eastAsia" w:ascii="Times New Roman" w:hAnsi="Times New Roman" w:eastAsia="宋体" w:cs="宋体"/>
          <w:spacing w:val="2"/>
          <w:sz w:val="24"/>
          <w:szCs w:val="24"/>
          <w:lang w:eastAsia="zh-CN"/>
        </w:rPr>
        <w:t>。</w:t>
      </w:r>
    </w:p>
    <w:p>
      <w:pPr>
        <w:pStyle w:val="3"/>
        <w:numPr>
          <w:ilvl w:val="0"/>
          <w:numId w:val="1"/>
        </w:numPr>
        <w:spacing w:line="360" w:lineRule="auto"/>
        <w:ind w:left="0"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技术负责人</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①具有10年以上流程模拟建模经验</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②至少担任过2个实时在线仿真优化系统（RTO）项目技术负责人。</w:t>
      </w:r>
    </w:p>
    <w:p>
      <w:pPr>
        <w:pStyle w:val="3"/>
        <w:numPr>
          <w:ilvl w:val="0"/>
          <w:numId w:val="1"/>
        </w:numPr>
        <w:spacing w:line="360" w:lineRule="auto"/>
        <w:ind w:left="0"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项目工程师</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①不少于3人，具有5年以上流程模拟建模工作经验</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②至少配备1名软件工程师</w:t>
      </w:r>
    </w:p>
    <w:p>
      <w:pPr>
        <w:pStyle w:val="3"/>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③有实时在线仿真优化系统（RTO）项目实施经验。</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（3）质量要求</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投标人需根据招标人提出的质量要求执行项目相关工作并提供相关质量记录</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（4）HSE要求</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1）严格按照“安全第一、预防为主”的方针进行作业，贯彻“谁主管、谁负责”的原则，加强员工及工作现场的安全管理，强化员工的安全意识，服从公司相关部门管理。</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2）投标人应向服务人员传达各项HSE信息，建立应急预案并进行培训和记录。</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3）投标人应进行HSE隐患整改,对检查发现的问题，须分析问题原因和制定有效的整改措施，报招标人审查。</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4）投标人服务人员应有职业健康体检合格证明，无所从事的工作禁忌症，服务人员年龄不得超过法定年龄。</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5）投标人作业过程中必须严格遵守各项安全规章制度和要求。</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6）投标人服务人员严禁进入非本单位施工区域或场所，不得乱动乱碰或拆卸任何设备零件或附件，自觉维护工作区域内的建筑物、设备管线和安全消防设施等。在工作中，能对其构成影响和威胁时要立即提出并采取妥善措施予以保护。禁止私用现场一切公用工程介质。</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7）投标人应按照招标人相关要求全员开展行为安全观察和隐患排查等活动。</w:t>
      </w:r>
    </w:p>
    <w:p>
      <w:pPr>
        <w:pStyle w:val="3"/>
        <w:adjustRightInd w:val="0"/>
        <w:spacing w:line="360" w:lineRule="auto"/>
        <w:ind w:firstLine="48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8）在作业过程中发生险情或事故时，应积极采取措施施救，并立即通知招标人，不得隐瞒和私自处理事故。</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4.5工作界面要求</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严格按照招标人提供的工作界面开展服务。</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4.6 供应商资质要求</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（1）投标人应具备有在线仿真优化相关项目的项目经验和应用案例，至少提供1项</w:t>
      </w:r>
      <w:r>
        <w:rPr>
          <w:rFonts w:hint="eastAsia" w:ascii="Times New Roman" w:hAnsi="Times New Roman" w:eastAsia="宋体" w:cs="宋体"/>
          <w:sz w:val="24"/>
          <w:szCs w:val="24"/>
          <w:lang w:val="en-US" w:eastAsia="zh-CN"/>
        </w:rPr>
        <w:t>工业</w:t>
      </w:r>
      <w:r>
        <w:rPr>
          <w:rFonts w:hint="eastAsia" w:ascii="Times New Roman" w:hAnsi="Times New Roman" w:eastAsia="宋体" w:cs="宋体"/>
          <w:sz w:val="24"/>
          <w:szCs w:val="24"/>
          <w:lang w:eastAsia="zh-CN"/>
        </w:rPr>
        <w:t>装置实时在线仿真优化的相关成功案例，并提供相应的合同证明资料，包括合同封面、合同信息页、签字盖章页及完工验收报告</w:t>
      </w:r>
      <w:r>
        <w:rPr>
          <w:rFonts w:hint="eastAsia" w:ascii="Times New Roman" w:hAnsi="Times New Roman" w:eastAsia="宋体" w:cs="宋体"/>
          <w:sz w:val="24"/>
          <w:szCs w:val="24"/>
          <w:lang w:val="en-US" w:eastAsia="zh-CN"/>
        </w:rPr>
        <w:t>/验收单</w:t>
      </w:r>
      <w:r>
        <w:rPr>
          <w:rFonts w:hint="eastAsia" w:ascii="Times New Roman" w:hAnsi="Times New Roman" w:eastAsia="宋体" w:cs="宋体"/>
          <w:sz w:val="24"/>
          <w:szCs w:val="24"/>
          <w:lang w:eastAsia="zh-CN"/>
        </w:rPr>
        <w:t>或结算明细单（具有双方签字或盖章）。</w:t>
      </w:r>
    </w:p>
    <w:p>
      <w:pPr>
        <w:pStyle w:val="11"/>
        <w:spacing w:line="360" w:lineRule="auto"/>
        <w:ind w:firstLine="480" w:firstLineChars="200"/>
        <w:jc w:val="both"/>
        <w:rPr>
          <w:rFonts w:ascii="Times New Roman" w:hAnsi="Times New Roman"/>
          <w:lang w:eastAsia="zh-CN"/>
        </w:rPr>
      </w:pPr>
      <w:r>
        <w:rPr>
          <w:rFonts w:hint="eastAsia" w:ascii="Times New Roman" w:hAnsi="Times New Roman" w:eastAsia="宋体" w:cs="宋体"/>
          <w:b w:val="0"/>
          <w:bCs w:val="0"/>
          <w:sz w:val="24"/>
          <w:lang w:eastAsia="zh-CN"/>
        </w:rPr>
        <w:t>（</w:t>
      </w:r>
      <w:r>
        <w:rPr>
          <w:rFonts w:hint="eastAsia" w:ascii="Times New Roman" w:hAnsi="Times New Roman" w:eastAsia="宋体" w:cs="宋体"/>
          <w:b w:val="0"/>
          <w:bCs w:val="0"/>
          <w:sz w:val="24"/>
          <w:lang w:val="en-US" w:eastAsia="zh-CN"/>
        </w:rPr>
        <w:t>2</w:t>
      </w:r>
      <w:r>
        <w:rPr>
          <w:rFonts w:hint="eastAsia" w:ascii="Times New Roman" w:hAnsi="Times New Roman" w:eastAsia="宋体" w:cs="宋体"/>
          <w:b w:val="0"/>
          <w:bCs w:val="0"/>
          <w:sz w:val="24"/>
          <w:lang w:eastAsia="zh-CN"/>
        </w:rPr>
        <w:t>）具备自有的完全自主知识产权（或取得原厂软件授权许可）的流程仿真模拟、实时优化平台。</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4.7保密要求</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投标人应严格遵守招标人的信息保密制度，严禁复制、盗用项目有关信息以及项目开发过程中获悉的招标人其他信息，否则，招标人有权终止合作，拒绝支付任何费用，并保留进一步采用法律手段解决问题的权利。投标人应告知并以适当方式要求和约束其现场技术人员遵守本条规定，若现场技术人员违反本条规定，投标人应承担连带责任。</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（2）双方同意对项目的内容承担保密义务，未经对方事先书面许可，不得故意或无意地透露给第三方。任何一方违反本条保密义务，应承担违约责任，赔偿对方由此造成的损失。</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（3）投标人应承诺：现场技术人员不得侵犯第三方的知识产权，同时，在交付项目成果中也不得侵犯或非法使用第三方的知识产权。投标人对此承担连带责任。</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（4）不得将项目中所提供的数据转售或提供给除投标人、招标人之外的任何第三方。</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（5）项目所有实施人员必须与招标人签订《保密协议》方可上岗。</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4.8培训要求</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（1）提供项目所需实时优化系统操作培训。根据项目需求确定培训的目标，制定相应的培训计划，组织对用户及其它与项目相关人员的培训，实现知识转移，保证用户能独立使用相关</w:t>
      </w:r>
      <w:r>
        <w:rPr>
          <w:rFonts w:hint="eastAsia" w:ascii="Times New Roman" w:hAnsi="Times New Roman" w:eastAsia="宋体" w:cs="宋体"/>
          <w:sz w:val="24"/>
          <w:szCs w:val="24"/>
          <w:lang w:val="en-US" w:eastAsia="zh-CN"/>
        </w:rPr>
        <w:t>功能</w:t>
      </w:r>
      <w:r>
        <w:rPr>
          <w:rFonts w:hint="eastAsia" w:ascii="Times New Roman" w:hAnsi="Times New Roman" w:eastAsia="宋体" w:cs="宋体"/>
          <w:sz w:val="24"/>
          <w:szCs w:val="24"/>
          <w:lang w:eastAsia="zh-CN"/>
        </w:rPr>
        <w:t>、系统。</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（2）投标人根据规定委派专业人员对用户进行培训。该等专业人员应经招标人事先确认，如存在合理理由认为该投标人人员不能胜任培训工作，招标人有权要求投标人更换该专业人员，投标人应该遵照执行。</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（3）投标人对用户进行培训时，应遵守人员、业务和财产安全制订的规章制度。</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（4）投标人应向招标人提供培训资料母本，培训资料以中文为主。招标人使用培训资料无需向投标人支付任何费用。投标人保证，培训资料的使用不侵犯任何第三方的知识产权。</w:t>
      </w:r>
    </w:p>
    <w:p>
      <w:pPr>
        <w:spacing w:line="360" w:lineRule="auto"/>
        <w:ind w:firstLine="480" w:firstLineChars="200"/>
        <w:jc w:val="both"/>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（5）培训应由现场服务经验不少于2年的人员担任。</w:t>
      </w:r>
    </w:p>
    <w:p>
      <w:pPr>
        <w:pStyle w:val="17"/>
        <w:spacing w:line="360" w:lineRule="auto"/>
        <w:ind w:firstLine="480" w:firstLineChars="200"/>
        <w:rPr>
          <w:rFonts w:hint="eastAsia" w:ascii="Times New Roman" w:hAnsi="Times New Roman"/>
          <w:color w:val="auto"/>
        </w:rPr>
      </w:pPr>
      <w:r>
        <w:rPr>
          <w:rFonts w:hint="eastAsia" w:ascii="Times New Roman" w:hAnsi="Times New Roman"/>
          <w:color w:val="auto"/>
        </w:rPr>
        <w:t>培训内容应当包括但不限于以下部分内容：</w:t>
      </w:r>
    </w:p>
    <w:tbl>
      <w:tblPr>
        <w:tblStyle w:val="12"/>
        <w:tblW w:w="8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685"/>
        <w:gridCol w:w="2884"/>
        <w:gridCol w:w="3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9" w:type="dxa"/>
            <w:vAlign w:val="center"/>
          </w:tcPr>
          <w:p>
            <w:pPr>
              <w:jc w:val="center"/>
              <w:rPr>
                <w:rFonts w:hint="eastAsia" w:ascii="Times New Roman" w:hAnsi="Times New Roman" w:eastAsia="宋体" w:cs="宋体"/>
                <w:sz w:val="24"/>
                <w:szCs w:val="24"/>
              </w:rPr>
            </w:pPr>
            <w:r>
              <w:rPr>
                <w:rFonts w:hint="eastAsia" w:ascii="Times New Roman" w:hAnsi="Times New Roman" w:eastAsia="宋体" w:cs="宋体"/>
                <w:sz w:val="24"/>
                <w:szCs w:val="24"/>
              </w:rPr>
              <w:t>序号</w:t>
            </w:r>
          </w:p>
        </w:tc>
        <w:tc>
          <w:tcPr>
            <w:tcW w:w="1685" w:type="dxa"/>
            <w:vAlign w:val="center"/>
          </w:tcPr>
          <w:p>
            <w:pPr>
              <w:jc w:val="center"/>
              <w:rPr>
                <w:rFonts w:hint="eastAsia" w:ascii="Times New Roman" w:hAnsi="Times New Roman" w:eastAsia="宋体" w:cs="宋体"/>
                <w:sz w:val="24"/>
                <w:szCs w:val="24"/>
              </w:rPr>
            </w:pPr>
            <w:r>
              <w:rPr>
                <w:rFonts w:hint="eastAsia" w:ascii="Times New Roman" w:hAnsi="Times New Roman" w:eastAsia="宋体" w:cs="宋体"/>
                <w:sz w:val="24"/>
                <w:szCs w:val="24"/>
              </w:rPr>
              <w:t>培训类型</w:t>
            </w:r>
          </w:p>
        </w:tc>
        <w:tc>
          <w:tcPr>
            <w:tcW w:w="2884" w:type="dxa"/>
            <w:vAlign w:val="center"/>
          </w:tcPr>
          <w:p>
            <w:pPr>
              <w:jc w:val="center"/>
              <w:rPr>
                <w:rFonts w:hint="eastAsia" w:ascii="Times New Roman" w:hAnsi="Times New Roman" w:eastAsia="宋体" w:cs="宋体"/>
                <w:sz w:val="24"/>
                <w:szCs w:val="24"/>
              </w:rPr>
            </w:pPr>
            <w:r>
              <w:rPr>
                <w:rFonts w:hint="eastAsia" w:ascii="Times New Roman" w:hAnsi="Times New Roman" w:eastAsia="宋体" w:cs="宋体"/>
                <w:sz w:val="24"/>
                <w:szCs w:val="24"/>
              </w:rPr>
              <w:t>要求</w:t>
            </w:r>
          </w:p>
        </w:tc>
        <w:tc>
          <w:tcPr>
            <w:tcW w:w="3303" w:type="dxa"/>
            <w:vAlign w:val="center"/>
          </w:tcPr>
          <w:p>
            <w:pPr>
              <w:jc w:val="center"/>
              <w:rPr>
                <w:rFonts w:hint="eastAsia" w:ascii="Times New Roman" w:hAnsi="Times New Roman" w:eastAsia="宋体" w:cs="宋体"/>
                <w:sz w:val="24"/>
                <w:szCs w:val="24"/>
              </w:rPr>
            </w:pPr>
            <w:r>
              <w:rPr>
                <w:rFonts w:hint="eastAsia" w:ascii="Times New Roman" w:hAnsi="Times New Roman" w:eastAsia="宋体" w:cs="宋体"/>
                <w:sz w:val="24"/>
                <w:szCs w:val="24"/>
              </w:rPr>
              <w:t>培训内容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9" w:type="dxa"/>
            <w:vAlign w:val="center"/>
          </w:tcPr>
          <w:p>
            <w:pPr>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w:t>
            </w:r>
          </w:p>
        </w:tc>
        <w:tc>
          <w:tcPr>
            <w:tcW w:w="1685" w:type="dxa"/>
            <w:vAlign w:val="center"/>
          </w:tcPr>
          <w:p>
            <w:pPr>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流程模拟原理与方法</w:t>
            </w:r>
          </w:p>
        </w:tc>
        <w:tc>
          <w:tcPr>
            <w:tcW w:w="2884" w:type="dxa"/>
            <w:vAlign w:val="center"/>
          </w:tcPr>
          <w:p>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工艺工程师培训，培训人数不超过30人，培训时间不少于3天</w:t>
            </w:r>
          </w:p>
        </w:tc>
        <w:tc>
          <w:tcPr>
            <w:tcW w:w="3303" w:type="dxa"/>
            <w:vAlign w:val="center"/>
          </w:tcPr>
          <w:p>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标准课程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9" w:type="dxa"/>
            <w:vAlign w:val="center"/>
          </w:tcPr>
          <w:p>
            <w:pPr>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w:t>
            </w:r>
          </w:p>
        </w:tc>
        <w:tc>
          <w:tcPr>
            <w:tcW w:w="1685" w:type="dxa"/>
            <w:vAlign w:val="center"/>
          </w:tcPr>
          <w:p>
            <w:pPr>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RTO原理及功能培训</w:t>
            </w:r>
          </w:p>
        </w:tc>
        <w:tc>
          <w:tcPr>
            <w:tcW w:w="2884" w:type="dxa"/>
            <w:vAlign w:val="center"/>
          </w:tcPr>
          <w:p>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工艺工程师培训，培训人数不超过30人，培训时间不少于3天</w:t>
            </w:r>
          </w:p>
        </w:tc>
        <w:tc>
          <w:tcPr>
            <w:tcW w:w="3303" w:type="dxa"/>
            <w:vAlign w:val="center"/>
          </w:tcPr>
          <w:p>
            <w:pPr>
              <w:rPr>
                <w:rFonts w:hint="eastAsia" w:ascii="Times New Roman" w:hAnsi="Times New Roman" w:eastAsia="宋体" w:cs="宋体"/>
                <w:sz w:val="24"/>
                <w:szCs w:val="24"/>
              </w:rPr>
            </w:pPr>
            <w:r>
              <w:rPr>
                <w:rFonts w:hint="eastAsia" w:ascii="Times New Roman" w:hAnsi="Times New Roman" w:eastAsia="宋体" w:cs="宋体"/>
                <w:sz w:val="24"/>
                <w:szCs w:val="24"/>
              </w:rPr>
              <w:t>标准课程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9" w:type="dxa"/>
            <w:vAlign w:val="center"/>
          </w:tcPr>
          <w:p>
            <w:pPr>
              <w:jc w:val="cente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w:t>
            </w:r>
          </w:p>
        </w:tc>
        <w:tc>
          <w:tcPr>
            <w:tcW w:w="1685" w:type="dxa"/>
            <w:vAlign w:val="center"/>
          </w:tcPr>
          <w:p>
            <w:pPr>
              <w:jc w:val="center"/>
              <w:rPr>
                <w:rFonts w:hint="eastAsia" w:ascii="Times New Roman" w:hAnsi="Times New Roman" w:eastAsia="宋体" w:cs="宋体"/>
                <w:sz w:val="24"/>
                <w:szCs w:val="24"/>
              </w:rPr>
            </w:pPr>
            <w:r>
              <w:rPr>
                <w:rFonts w:hint="eastAsia" w:ascii="Times New Roman" w:hAnsi="Times New Roman" w:eastAsia="宋体" w:cs="宋体"/>
                <w:sz w:val="24"/>
                <w:szCs w:val="24"/>
              </w:rPr>
              <w:t>RTO现场培训</w:t>
            </w:r>
          </w:p>
        </w:tc>
        <w:tc>
          <w:tcPr>
            <w:tcW w:w="2884" w:type="dxa"/>
            <w:vAlign w:val="center"/>
          </w:tcPr>
          <w:p>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rPr>
              <w:t>班组培训，</w:t>
            </w:r>
            <w:r>
              <w:rPr>
                <w:rFonts w:hint="eastAsia" w:ascii="Times New Roman" w:hAnsi="Times New Roman" w:eastAsia="宋体" w:cs="宋体"/>
                <w:sz w:val="24"/>
                <w:szCs w:val="24"/>
                <w:lang w:eastAsia="zh-CN"/>
              </w:rPr>
              <w:t>每班组1天</w:t>
            </w:r>
          </w:p>
        </w:tc>
        <w:tc>
          <w:tcPr>
            <w:tcW w:w="3303" w:type="dxa"/>
            <w:vAlign w:val="center"/>
          </w:tcPr>
          <w:p>
            <w:pPr>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系统原理、操作界面培训</w:t>
            </w:r>
          </w:p>
        </w:tc>
      </w:tr>
    </w:tbl>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投标人须对以上技术规格要求进行逐项应答，明确每个指标满足情况，并提供证明材料（系统截图或用户证明或第三方认证或测试报告）。技术规格和服务如果有偏离，请填写在技术偏离表中。技术偏离表中无体现的，视为投标人可满足招标文件的要求，后期合同按招标要求执行。</w:t>
      </w:r>
    </w:p>
    <w:p>
      <w:pPr>
        <w:pStyle w:val="4"/>
        <w:rPr>
          <w:rFonts w:hint="eastAsia" w:ascii="Times New Roman" w:hAnsi="Times New Roman" w:eastAsia="宋体" w:cs="宋体"/>
          <w:bCs/>
          <w:highlight w:val="none"/>
        </w:rPr>
      </w:pPr>
      <w:r>
        <w:rPr>
          <w:rFonts w:hint="eastAsia" w:ascii="Times New Roman" w:hAnsi="Times New Roman" w:eastAsia="宋体" w:cs="宋体"/>
          <w:highlight w:val="none"/>
        </w:rPr>
        <w:t>五、</w:t>
      </w:r>
      <w:r>
        <w:rPr>
          <w:rFonts w:hint="eastAsia" w:ascii="Times New Roman" w:hAnsi="Times New Roman" w:eastAsia="宋体" w:cs="宋体"/>
          <w:bCs/>
          <w:highlight w:val="none"/>
        </w:rPr>
        <w:t>配备资源要求</w:t>
      </w:r>
    </w:p>
    <w:p>
      <w:pPr>
        <w:widowControl/>
        <w:spacing w:line="360" w:lineRule="auto"/>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eastAsia="宋体" w:cs="宋体"/>
          <w:color w:val="000000"/>
          <w:sz w:val="24"/>
          <w:szCs w:val="24"/>
          <w:highlight w:val="none"/>
          <w:lang w:eastAsia="zh-CN" w:bidi="ar"/>
        </w:rPr>
        <w:t>（</w:t>
      </w:r>
      <w:r>
        <w:rPr>
          <w:rFonts w:hint="eastAsia" w:ascii="Times New Roman" w:hAnsi="Times New Roman" w:eastAsia="宋体" w:cs="宋体"/>
          <w:color w:val="000000"/>
          <w:sz w:val="24"/>
          <w:szCs w:val="24"/>
          <w:highlight w:val="none"/>
          <w:lang w:val="en-US" w:eastAsia="zh-CN" w:bidi="ar"/>
        </w:rPr>
        <w:t>1</w:t>
      </w:r>
      <w:r>
        <w:rPr>
          <w:rFonts w:hint="eastAsia" w:ascii="Times New Roman" w:hAnsi="Times New Roman" w:eastAsia="宋体" w:cs="宋体"/>
          <w:color w:val="000000"/>
          <w:sz w:val="24"/>
          <w:szCs w:val="24"/>
          <w:highlight w:val="none"/>
          <w:lang w:eastAsia="zh-CN" w:bidi="ar"/>
        </w:rPr>
        <w:t>）投标人应提供系统的安装、性能测试、试运和投产等的指导服务。</w:t>
      </w:r>
    </w:p>
    <w:p>
      <w:pPr>
        <w:widowControl/>
        <w:spacing w:line="360" w:lineRule="auto"/>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eastAsia="宋体" w:cs="宋体"/>
          <w:color w:val="000000"/>
          <w:sz w:val="24"/>
          <w:szCs w:val="24"/>
          <w:highlight w:val="none"/>
          <w:lang w:eastAsia="zh-CN" w:bidi="ar"/>
        </w:rPr>
        <w:t>（</w:t>
      </w:r>
      <w:r>
        <w:rPr>
          <w:rFonts w:hint="eastAsia" w:ascii="Times New Roman" w:hAnsi="Times New Roman" w:eastAsia="宋体" w:cs="宋体"/>
          <w:color w:val="000000"/>
          <w:sz w:val="24"/>
          <w:szCs w:val="24"/>
          <w:highlight w:val="none"/>
          <w:lang w:val="en-US" w:eastAsia="zh-CN" w:bidi="ar"/>
        </w:rPr>
        <w:t>2</w:t>
      </w:r>
      <w:r>
        <w:rPr>
          <w:rFonts w:hint="eastAsia" w:ascii="Times New Roman" w:hAnsi="Times New Roman" w:eastAsia="宋体" w:cs="宋体"/>
          <w:color w:val="000000"/>
          <w:sz w:val="24"/>
          <w:szCs w:val="24"/>
          <w:highlight w:val="none"/>
          <w:lang w:eastAsia="zh-CN" w:bidi="ar"/>
        </w:rPr>
        <w:t>）投标人应派有经验的工程师到现场指导。当业主通知供货商要投产运行时，供货商应配合试运和调试工作。</w:t>
      </w:r>
    </w:p>
    <w:p>
      <w:pPr>
        <w:widowControl/>
        <w:spacing w:line="360" w:lineRule="auto"/>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eastAsia="宋体" w:cs="宋体"/>
          <w:color w:val="000000"/>
          <w:sz w:val="24"/>
          <w:szCs w:val="24"/>
          <w:highlight w:val="none"/>
          <w:lang w:eastAsia="zh-CN" w:bidi="ar"/>
        </w:rPr>
        <w:t>（</w:t>
      </w:r>
      <w:r>
        <w:rPr>
          <w:rFonts w:hint="eastAsia" w:ascii="Times New Roman" w:hAnsi="Times New Roman" w:eastAsia="宋体" w:cs="宋体"/>
          <w:color w:val="000000"/>
          <w:sz w:val="24"/>
          <w:szCs w:val="24"/>
          <w:highlight w:val="none"/>
          <w:lang w:val="en-US" w:eastAsia="zh-CN" w:bidi="ar"/>
        </w:rPr>
        <w:t>3</w:t>
      </w:r>
      <w:r>
        <w:rPr>
          <w:rFonts w:hint="eastAsia" w:ascii="Times New Roman" w:hAnsi="Times New Roman" w:eastAsia="宋体" w:cs="宋体"/>
          <w:color w:val="000000"/>
          <w:sz w:val="24"/>
          <w:szCs w:val="24"/>
          <w:highlight w:val="none"/>
          <w:lang w:eastAsia="zh-CN" w:bidi="ar"/>
        </w:rPr>
        <w:t>）投标人应参与和指导系统的现场性能测试，进行性能测试的要求和方法由供货商和买主确定，供货商要向业主提供现场性能测试方案，以表明通过测试可以证明所提供的系统符合业主要求。</w:t>
      </w:r>
    </w:p>
    <w:p>
      <w:pPr>
        <w:widowControl/>
        <w:spacing w:line="360" w:lineRule="auto"/>
        <w:ind w:firstLine="480" w:firstLineChars="200"/>
        <w:rPr>
          <w:rFonts w:hint="eastAsia" w:ascii="Times New Roman" w:hAnsi="Times New Roman" w:eastAsia="宋体" w:cs="宋体"/>
          <w:sz w:val="24"/>
          <w:szCs w:val="24"/>
          <w:highlight w:val="none"/>
          <w:lang w:eastAsia="zh-CN"/>
        </w:rPr>
      </w:pPr>
      <w:r>
        <w:rPr>
          <w:rFonts w:hint="eastAsia" w:ascii="Times New Roman" w:hAnsi="Times New Roman" w:eastAsia="宋体" w:cs="宋体"/>
          <w:color w:val="000000"/>
          <w:sz w:val="24"/>
          <w:szCs w:val="24"/>
          <w:highlight w:val="none"/>
          <w:lang w:eastAsia="zh-CN" w:bidi="ar"/>
        </w:rPr>
        <w:t>（</w:t>
      </w:r>
      <w:r>
        <w:rPr>
          <w:rFonts w:hint="eastAsia" w:ascii="Times New Roman" w:hAnsi="Times New Roman" w:eastAsia="宋体" w:cs="宋体"/>
          <w:color w:val="000000"/>
          <w:sz w:val="24"/>
          <w:szCs w:val="24"/>
          <w:highlight w:val="none"/>
          <w:lang w:val="en-US" w:eastAsia="zh-CN" w:bidi="ar"/>
        </w:rPr>
        <w:t>4</w:t>
      </w:r>
      <w:r>
        <w:rPr>
          <w:rFonts w:hint="eastAsia" w:ascii="Times New Roman" w:hAnsi="Times New Roman" w:eastAsia="宋体" w:cs="宋体"/>
          <w:color w:val="000000"/>
          <w:sz w:val="24"/>
          <w:szCs w:val="24"/>
          <w:highlight w:val="none"/>
          <w:lang w:eastAsia="zh-CN" w:bidi="ar"/>
        </w:rPr>
        <w:t>）当系统出现故障或不能满足操作要求时，投标人应根据业主的要求派有经验的工程师到现场进行技术支持，并及时排除故障。</w:t>
      </w:r>
    </w:p>
    <w:p>
      <w:pPr>
        <w:spacing w:line="360" w:lineRule="auto"/>
        <w:ind w:firstLine="480" w:firstLineChars="200"/>
        <w:rPr>
          <w:rFonts w:ascii="Times New Roman" w:hAnsi="Times New Roman"/>
          <w:highlight w:val="none"/>
          <w:lang w:eastAsia="zh-CN"/>
        </w:rPr>
      </w:pPr>
      <w:r>
        <w:rPr>
          <w:rFonts w:hint="eastAsia" w:ascii="Times New Roman" w:hAnsi="Times New Roman" w:eastAsia="宋体" w:cs="宋体"/>
          <w:color w:val="000000"/>
          <w:sz w:val="24"/>
          <w:szCs w:val="24"/>
          <w:highlight w:val="none"/>
          <w:lang w:eastAsia="zh-CN" w:bidi="ar"/>
        </w:rPr>
        <w:t>（</w:t>
      </w:r>
      <w:r>
        <w:rPr>
          <w:rFonts w:hint="eastAsia" w:ascii="Times New Roman" w:hAnsi="Times New Roman" w:eastAsia="宋体" w:cs="宋体"/>
          <w:color w:val="000000"/>
          <w:sz w:val="24"/>
          <w:szCs w:val="24"/>
          <w:highlight w:val="none"/>
          <w:lang w:val="en-US" w:eastAsia="zh-CN" w:bidi="ar"/>
        </w:rPr>
        <w:t>5</w:t>
      </w:r>
      <w:r>
        <w:rPr>
          <w:rFonts w:hint="eastAsia" w:ascii="Times New Roman" w:hAnsi="Times New Roman" w:eastAsia="宋体" w:cs="宋体"/>
          <w:color w:val="000000"/>
          <w:sz w:val="24"/>
          <w:szCs w:val="24"/>
          <w:highlight w:val="none"/>
          <w:lang w:eastAsia="zh-CN" w:bidi="ar"/>
        </w:rPr>
        <w:t>）技术服务的费用由投标人承担。</w:t>
      </w:r>
    </w:p>
    <w:p>
      <w:pPr>
        <w:pStyle w:val="4"/>
        <w:rPr>
          <w:rFonts w:hint="eastAsia" w:ascii="Times New Roman" w:hAnsi="Times New Roman" w:eastAsia="宋体" w:cs="宋体"/>
        </w:rPr>
      </w:pPr>
      <w:r>
        <w:rPr>
          <w:rFonts w:hint="eastAsia" w:ascii="Times New Roman" w:hAnsi="Times New Roman" w:eastAsia="宋体" w:cs="宋体"/>
        </w:rPr>
        <w:t>六、服务进度跟踪</w:t>
      </w:r>
    </w:p>
    <w:p>
      <w:pPr>
        <w:widowControl/>
        <w:spacing w:line="360" w:lineRule="auto"/>
        <w:ind w:firstLine="42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明确服务项目阶段性节点要求和整体完工期限：根据招标人要求按期完成相关技术服务工作，并提交成果文件。</w:t>
      </w:r>
    </w:p>
    <w:p>
      <w:pPr>
        <w:pStyle w:val="4"/>
        <w:rPr>
          <w:rFonts w:hint="eastAsia" w:ascii="Times New Roman" w:hAnsi="Times New Roman" w:eastAsia="宋体" w:cs="宋体"/>
        </w:rPr>
      </w:pPr>
      <w:r>
        <w:rPr>
          <w:rFonts w:hint="eastAsia" w:ascii="Times New Roman" w:hAnsi="Times New Roman" w:eastAsia="宋体" w:cs="宋体"/>
        </w:rPr>
        <w:t>七、服务及检验验收标准</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7.1服务标准</w:t>
      </w:r>
    </w:p>
    <w:p>
      <w:pPr>
        <w:widowControl/>
        <w:spacing w:line="360" w:lineRule="auto"/>
        <w:ind w:firstLine="420"/>
        <w:rPr>
          <w:rFonts w:ascii="Times New Roman" w:hAnsi="Times New Roman"/>
          <w:lang w:eastAsia="zh-CN"/>
        </w:rPr>
      </w:pPr>
      <w:r>
        <w:rPr>
          <w:rFonts w:hint="eastAsia" w:ascii="Times New Roman" w:hAnsi="Times New Roman" w:eastAsia="宋体" w:cs="宋体"/>
          <w:sz w:val="24"/>
          <w:szCs w:val="24"/>
          <w:lang w:eastAsia="zh-CN"/>
        </w:rPr>
        <w:t>根据订单规定的交付时间表，交付符合本订单要求的工作成果，并对工作成果的准确性、完整性按照订单约定负责。如提交的工作成果不符合本订单的要求，应根据订单约定修改或重新实施相关工作以使工作符合项目业主方的业务需求规定。</w:t>
      </w:r>
    </w:p>
    <w:p>
      <w:pPr>
        <w:pStyle w:val="4"/>
        <w:ind w:firstLine="488" w:firstLineChars="200"/>
        <w:jc w:val="both"/>
        <w:rPr>
          <w:rFonts w:hint="eastAsia" w:ascii="Times New Roman" w:hAnsi="Times New Roman" w:eastAsia="宋体" w:cs="宋体"/>
          <w:sz w:val="24"/>
          <w:szCs w:val="24"/>
        </w:rPr>
      </w:pPr>
      <w:r>
        <w:rPr>
          <w:rFonts w:hint="eastAsia" w:ascii="Times New Roman" w:hAnsi="Times New Roman" w:eastAsia="宋体" w:cs="宋体"/>
          <w:sz w:val="24"/>
          <w:szCs w:val="24"/>
        </w:rPr>
        <w:t>7.2 现场检验</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现场检验应在所有设备安装调试完毕，且设备准备投入试运行时进行，该检验应在投标人工程师参加并指导下由招标人完成。在验收开始前二周投标人应提出现场检验大纲供招标人认可。现场试验要求所有硬件设备同时投入，进行在线168小时连续运行后，测试技术规范书中要求的功能和技术性能指标。现场检验报告需有招标人、投标人技术人员签字才能生效。</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现场试验的一般仪表由招标人提供，专用仪器、仪表由投标人提供。</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现场调试应做到：数字量动作到每一点，模拟量校对到每一个值，控制量操作到每一个设备。对正确的操作及可能出现的误操作应一一验证，使操作控制的正确率为100％。</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现场验收试验主要目的是工艺流程仿真与优化关系系统与其它设备的配合，系统的各项功能是否实现，系统的性能指标是否达到。试验包括以下试验项目且不仅限于以下试验项目：</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1）与数据集成中心通信联调试验。</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2）与各类智能监测装置通信联调试验。</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3）数据采集系统测试和精度测试。</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4）画面完备性检查，响应时间和刷新周期测试。</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5）报警系统测试（包括系统自诊断异常报警，与站内其它设备配合进行）。</w:t>
      </w:r>
    </w:p>
    <w:p>
      <w:pPr>
        <w:widowControl/>
        <w:spacing w:line="360" w:lineRule="auto"/>
        <w:ind w:firstLine="480" w:firstLineChars="200"/>
        <w:rPr>
          <w:rFonts w:hint="eastAsia" w:ascii="Times New Roman" w:hAnsi="Times New Roman" w:eastAsia="宋体" w:cs="宋体"/>
          <w:color w:val="000000"/>
          <w:sz w:val="24"/>
          <w:szCs w:val="24"/>
          <w:lang w:eastAsia="zh-CN" w:bidi="ar"/>
        </w:rPr>
      </w:pPr>
      <w:r>
        <w:rPr>
          <w:rFonts w:hint="eastAsia" w:ascii="Times New Roman" w:hAnsi="Times New Roman" w:eastAsia="宋体" w:cs="宋体"/>
          <w:color w:val="000000"/>
          <w:sz w:val="24"/>
          <w:szCs w:val="24"/>
          <w:lang w:eastAsia="zh-CN" w:bidi="ar"/>
        </w:rPr>
        <w:t>6）系统自诊断测试</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7）现场试验在正常运行条件下进行，但不排除对异常状态的模拟试验。</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现场验收试验结束后，</w:t>
      </w:r>
      <w:r>
        <w:rPr>
          <w:rFonts w:hint="eastAsia" w:ascii="Times New Roman" w:hAnsi="Times New Roman" w:eastAsia="宋体" w:cs="宋体"/>
          <w:color w:val="000000"/>
          <w:sz w:val="24"/>
          <w:szCs w:val="24"/>
          <w:lang w:val="en-US" w:eastAsia="zh-CN" w:bidi="ar"/>
        </w:rPr>
        <w:t>投标人</w:t>
      </w:r>
      <w:r>
        <w:rPr>
          <w:rFonts w:hint="eastAsia" w:ascii="Times New Roman" w:hAnsi="Times New Roman" w:eastAsia="宋体" w:cs="宋体"/>
          <w:color w:val="000000"/>
          <w:sz w:val="24"/>
          <w:szCs w:val="24"/>
          <w:lang w:eastAsia="zh-CN" w:bidi="ar"/>
        </w:rPr>
        <w:t>的现场技术人员应负责完整备份系统，并提供给</w:t>
      </w:r>
      <w:r>
        <w:rPr>
          <w:rFonts w:hint="eastAsia" w:ascii="Times New Roman" w:hAnsi="Times New Roman" w:eastAsia="宋体" w:cs="宋体"/>
          <w:color w:val="000000"/>
          <w:sz w:val="24"/>
          <w:szCs w:val="24"/>
          <w:lang w:val="en-US" w:eastAsia="zh-CN" w:bidi="ar"/>
        </w:rPr>
        <w:t>招标人</w:t>
      </w:r>
      <w:r>
        <w:rPr>
          <w:rFonts w:hint="eastAsia" w:ascii="Times New Roman" w:hAnsi="Times New Roman" w:eastAsia="宋体" w:cs="宋体"/>
          <w:color w:val="000000"/>
          <w:sz w:val="24"/>
          <w:szCs w:val="24"/>
          <w:lang w:eastAsia="zh-CN" w:bidi="ar"/>
        </w:rPr>
        <w:t>。</w:t>
      </w:r>
    </w:p>
    <w:p>
      <w:pPr>
        <w:widowControl/>
        <w:spacing w:line="360" w:lineRule="auto"/>
        <w:ind w:firstLine="480" w:firstLineChars="200"/>
        <w:rPr>
          <w:rFonts w:hint="eastAsia" w:ascii="Times New Roman" w:hAnsi="Times New Roman" w:eastAsia="宋体" w:cs="宋体"/>
          <w:sz w:val="24"/>
          <w:szCs w:val="24"/>
        </w:rPr>
      </w:pPr>
      <w:r>
        <w:rPr>
          <w:rFonts w:hint="eastAsia" w:ascii="Times New Roman" w:hAnsi="Times New Roman" w:eastAsia="宋体" w:cs="宋体"/>
          <w:sz w:val="24"/>
          <w:szCs w:val="24"/>
        </w:rPr>
        <w:t>7.3技术资料及交付进度</w:t>
      </w:r>
    </w:p>
    <w:p>
      <w:pPr>
        <w:pStyle w:val="11"/>
        <w:spacing w:line="360" w:lineRule="auto"/>
        <w:ind w:firstLine="480" w:firstLineChars="200"/>
        <w:jc w:val="both"/>
        <w:rPr>
          <w:rFonts w:hint="eastAsia" w:ascii="Times New Roman" w:hAnsi="Times New Roman" w:eastAsia="宋体" w:cs="宋体"/>
          <w:b w:val="0"/>
          <w:bCs w:val="0"/>
          <w:sz w:val="24"/>
          <w:lang w:eastAsia="zh-CN"/>
        </w:rPr>
      </w:pPr>
      <w:r>
        <w:rPr>
          <w:rFonts w:hint="eastAsia" w:ascii="Times New Roman" w:hAnsi="Times New Roman" w:eastAsia="宋体" w:cs="宋体"/>
          <w:b w:val="0"/>
          <w:bCs w:val="0"/>
          <w:sz w:val="24"/>
          <w:lang w:eastAsia="zh-CN"/>
        </w:rPr>
        <w:t>（1）一般要求</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1）投标人所提供的图纸如有修改，投标人在新版中明确标示并相应提供文字说明。</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2）投标人提供的技术资料深度应满足招标人进行阶段设计的要求。这些资料应准确，不能任意修改。</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3）投标人所提交的技术资料内容至少应包括本规格书中所要求的。如招标人在工程设计中需要本规格书以外的资料，投标人应及时无偿地提供。</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4）投标人提交给招标人的每一批资料都应附有图纸清单，每张资料都应注明版次，当提交新版资料时应注明修改处并说明修改原因。</w:t>
      </w:r>
    </w:p>
    <w:p>
      <w:pPr>
        <w:widowControl/>
        <w:spacing w:line="360" w:lineRule="auto"/>
        <w:ind w:firstLine="480" w:firstLineChars="200"/>
        <w:rPr>
          <w:rFonts w:hint="eastAsia" w:ascii="Times New Roman" w:hAnsi="Times New Roman" w:eastAsia="宋体" w:cs="宋体"/>
          <w:color w:val="000000"/>
          <w:sz w:val="24"/>
          <w:szCs w:val="24"/>
          <w:lang w:eastAsia="zh-CN" w:bidi="ar"/>
        </w:rPr>
      </w:pPr>
      <w:r>
        <w:rPr>
          <w:rFonts w:hint="eastAsia" w:ascii="Times New Roman" w:hAnsi="Times New Roman" w:eastAsia="宋体" w:cs="宋体"/>
          <w:color w:val="000000"/>
          <w:sz w:val="24"/>
          <w:szCs w:val="24"/>
          <w:lang w:eastAsia="zh-CN" w:bidi="ar"/>
        </w:rPr>
        <w:t>5）工作配合和资料交换所用的语言为中文。</w:t>
      </w:r>
    </w:p>
    <w:p>
      <w:pPr>
        <w:pStyle w:val="4"/>
        <w:ind w:left="220"/>
        <w:jc w:val="both"/>
        <w:rPr>
          <w:rFonts w:hint="eastAsia" w:ascii="Times New Roman" w:hAnsi="Times New Roman" w:eastAsia="宋体" w:cs="宋体"/>
          <w:sz w:val="24"/>
          <w:szCs w:val="24"/>
        </w:rPr>
      </w:pPr>
      <w:r>
        <w:rPr>
          <w:rFonts w:hint="eastAsia" w:ascii="Times New Roman" w:hAnsi="Times New Roman" w:eastAsia="宋体" w:cs="宋体"/>
          <w:sz w:val="24"/>
          <w:szCs w:val="24"/>
        </w:rPr>
        <w:t>7.</w:t>
      </w:r>
      <w:r>
        <w:rPr>
          <w:rFonts w:hint="eastAsia" w:ascii="Times New Roman" w:hAnsi="Times New Roman" w:eastAsia="宋体" w:cs="宋体"/>
          <w:sz w:val="24"/>
          <w:szCs w:val="24"/>
          <w:lang w:val="en-US" w:eastAsia="zh-CN"/>
        </w:rPr>
        <w:t>4</w:t>
      </w:r>
      <w:r>
        <w:rPr>
          <w:rFonts w:hint="eastAsia" w:ascii="Times New Roman" w:hAnsi="Times New Roman" w:eastAsia="宋体" w:cs="宋体"/>
          <w:sz w:val="24"/>
          <w:szCs w:val="24"/>
        </w:rPr>
        <w:t>验收标准</w:t>
      </w:r>
    </w:p>
    <w:p>
      <w:pPr>
        <w:widowControl/>
        <w:spacing w:line="360" w:lineRule="auto"/>
        <w:ind w:left="44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（1）提供项目可交付成果，符合验收条件，在项目业主单位同意验收后，组织验收会进行评审验收。</w:t>
      </w:r>
    </w:p>
    <w:p>
      <w:pPr>
        <w:widowControl/>
        <w:spacing w:line="360" w:lineRule="auto"/>
        <w:ind w:left="44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（2）验收地点为项目实施的地点，验收工作将由招标人组织进行验收。验收依据是项目实施过程中的有效的技术资料和文档，如果相互冲突则以双方最后确认的需求为准，对项目进行阶段性或最终验收。</w:t>
      </w:r>
    </w:p>
    <w:p>
      <w:pPr>
        <w:widowControl/>
        <w:spacing w:line="360" w:lineRule="auto"/>
        <w:ind w:left="44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（3）完成项目实施各阶段的要求并提交相关材料。</w:t>
      </w:r>
    </w:p>
    <w:p>
      <w:pPr>
        <w:widowControl/>
        <w:spacing w:line="360" w:lineRule="auto"/>
        <w:ind w:left="44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（4）项目文档齐全。</w:t>
      </w:r>
    </w:p>
    <w:p>
      <w:pPr>
        <w:pStyle w:val="4"/>
        <w:ind w:left="220"/>
        <w:jc w:val="both"/>
        <w:rPr>
          <w:rFonts w:hint="eastAsia" w:ascii="Times New Roman" w:hAnsi="Times New Roman" w:eastAsia="宋体" w:cs="宋体"/>
          <w:sz w:val="24"/>
          <w:szCs w:val="24"/>
        </w:rPr>
      </w:pPr>
      <w:r>
        <w:rPr>
          <w:rFonts w:hint="eastAsia" w:ascii="Times New Roman" w:hAnsi="Times New Roman" w:eastAsia="宋体" w:cs="宋体"/>
          <w:sz w:val="24"/>
          <w:szCs w:val="24"/>
        </w:rPr>
        <w:t>7.</w:t>
      </w:r>
      <w:r>
        <w:rPr>
          <w:rFonts w:hint="eastAsia" w:ascii="Times New Roman" w:hAnsi="Times New Roman" w:eastAsia="宋体" w:cs="宋体"/>
          <w:sz w:val="24"/>
          <w:szCs w:val="24"/>
          <w:lang w:val="en-US" w:eastAsia="zh-CN"/>
        </w:rPr>
        <w:t>5</w:t>
      </w:r>
      <w:r>
        <w:rPr>
          <w:rFonts w:hint="eastAsia" w:ascii="Times New Roman" w:hAnsi="Times New Roman" w:eastAsia="宋体" w:cs="宋体"/>
          <w:sz w:val="24"/>
          <w:szCs w:val="24"/>
        </w:rPr>
        <w:t>资料提交的基本要求</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7.</w:t>
      </w:r>
      <w:r>
        <w:rPr>
          <w:rFonts w:hint="eastAsia" w:ascii="Times New Roman" w:hAnsi="Times New Roman" w:eastAsia="宋体" w:cs="宋体"/>
          <w:color w:val="000000"/>
          <w:sz w:val="24"/>
          <w:szCs w:val="24"/>
          <w:lang w:val="en-US" w:eastAsia="zh-CN" w:bidi="ar"/>
        </w:rPr>
        <w:t>5</w:t>
      </w:r>
      <w:r>
        <w:rPr>
          <w:rFonts w:hint="eastAsia" w:ascii="Times New Roman" w:hAnsi="Times New Roman" w:eastAsia="宋体" w:cs="宋体"/>
          <w:color w:val="000000"/>
          <w:sz w:val="24"/>
          <w:szCs w:val="24"/>
          <w:lang w:eastAsia="zh-CN" w:bidi="ar"/>
        </w:rPr>
        <w:t>.1配合工程设计的资料与图纸</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（1）应在中标通知发出后20天内提交：</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（2）工艺流程仿真与优化关系系统功能说明书。</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（3）工艺流程仿真与优化关系系统的接口能力、接口。</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7.</w:t>
      </w:r>
      <w:r>
        <w:rPr>
          <w:rFonts w:hint="eastAsia" w:ascii="Times New Roman" w:hAnsi="Times New Roman" w:eastAsia="宋体" w:cs="宋体"/>
          <w:color w:val="000000"/>
          <w:sz w:val="24"/>
          <w:szCs w:val="24"/>
          <w:lang w:val="en-US" w:eastAsia="zh-CN" w:bidi="ar"/>
        </w:rPr>
        <w:t>5</w:t>
      </w:r>
      <w:r>
        <w:rPr>
          <w:rFonts w:hint="eastAsia" w:ascii="Times New Roman" w:hAnsi="Times New Roman" w:eastAsia="宋体" w:cs="宋体"/>
          <w:color w:val="000000"/>
          <w:sz w:val="24"/>
          <w:szCs w:val="24"/>
          <w:lang w:eastAsia="zh-CN" w:bidi="ar"/>
        </w:rPr>
        <w:t>.2设备检验所需要的技术资料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投标人应提供满足合同设备检验/见证所需的全部技术资料。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7.</w:t>
      </w:r>
      <w:r>
        <w:rPr>
          <w:rFonts w:hint="eastAsia" w:ascii="Times New Roman" w:hAnsi="Times New Roman" w:eastAsia="宋体" w:cs="宋体"/>
          <w:color w:val="000000"/>
          <w:sz w:val="24"/>
          <w:szCs w:val="24"/>
          <w:lang w:val="en-US" w:eastAsia="zh-CN" w:bidi="ar"/>
        </w:rPr>
        <w:t>5</w:t>
      </w:r>
      <w:r>
        <w:rPr>
          <w:rFonts w:hint="eastAsia" w:ascii="Times New Roman" w:hAnsi="Times New Roman" w:eastAsia="宋体" w:cs="宋体"/>
          <w:color w:val="000000"/>
          <w:sz w:val="24"/>
          <w:szCs w:val="24"/>
          <w:lang w:eastAsia="zh-CN" w:bidi="ar"/>
        </w:rPr>
        <w:t>.3施工、调试、试运、机组性能试验和运行维护所需的技术资料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施工、调试、试运、机组性能试验和运行维护所需的技术资料，包括但不限于下列资料：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（1）提供安装、调试和试运说明书。</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（2）安装、运行、维护、检修所需的详尽图纸和技术文件。</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7.</w:t>
      </w:r>
      <w:r>
        <w:rPr>
          <w:rFonts w:hint="eastAsia" w:ascii="Times New Roman" w:hAnsi="Times New Roman" w:eastAsia="宋体" w:cs="宋体"/>
          <w:color w:val="000000"/>
          <w:sz w:val="24"/>
          <w:szCs w:val="24"/>
          <w:lang w:val="en-US" w:eastAsia="zh-CN" w:bidi="ar"/>
        </w:rPr>
        <w:t>5</w:t>
      </w:r>
      <w:r>
        <w:rPr>
          <w:rFonts w:hint="eastAsia" w:ascii="Times New Roman" w:hAnsi="Times New Roman" w:eastAsia="宋体" w:cs="宋体"/>
          <w:color w:val="000000"/>
          <w:sz w:val="24"/>
          <w:szCs w:val="24"/>
          <w:lang w:eastAsia="zh-CN" w:bidi="ar"/>
        </w:rPr>
        <w:t>.4投标人须提供的其它技术资料</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投标人须提供的其它技术资料包括以下但不限于：</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（1）检验记录、试验报告及质量合格证等出厂报告。</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（2）投标人提供在设计、制造时所遵循的规范、标准和规定清单。</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（3）设备和备品管理资料文件，包括设备和备品发运和装箱的详细资料(各种清单)，设备和备品存放与保管技术要求，运输超重和超大件的明细表和外形图。</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color w:val="000000"/>
          <w:sz w:val="24"/>
          <w:szCs w:val="24"/>
          <w:lang w:eastAsia="zh-CN" w:bidi="ar"/>
        </w:rPr>
        <w:t>（4）详细的产品质量文件。</w:t>
      </w:r>
    </w:p>
    <w:p>
      <w:pPr>
        <w:pStyle w:val="4"/>
        <w:ind w:left="220"/>
        <w:jc w:val="both"/>
        <w:rPr>
          <w:rFonts w:hint="eastAsia" w:ascii="Times New Roman" w:hAnsi="Times New Roman" w:eastAsia="宋体" w:cs="宋体"/>
          <w:sz w:val="24"/>
          <w:szCs w:val="24"/>
        </w:rPr>
      </w:pPr>
      <w:r>
        <w:rPr>
          <w:rFonts w:hint="eastAsia" w:ascii="Times New Roman" w:hAnsi="Times New Roman" w:eastAsia="宋体" w:cs="宋体"/>
          <w:sz w:val="24"/>
          <w:szCs w:val="24"/>
        </w:rPr>
        <w:t>7.</w:t>
      </w:r>
      <w:r>
        <w:rPr>
          <w:rFonts w:hint="eastAsia" w:ascii="Times New Roman" w:hAnsi="Times New Roman" w:eastAsia="宋体" w:cs="宋体"/>
          <w:sz w:val="24"/>
          <w:szCs w:val="24"/>
          <w:lang w:val="en-US" w:eastAsia="zh-CN"/>
        </w:rPr>
        <w:t>6</w:t>
      </w:r>
      <w:r>
        <w:rPr>
          <w:rFonts w:hint="eastAsia" w:ascii="Times New Roman" w:hAnsi="Times New Roman" w:eastAsia="宋体" w:cs="宋体"/>
          <w:sz w:val="24"/>
          <w:szCs w:val="24"/>
        </w:rPr>
        <w:t>完工资料</w:t>
      </w:r>
    </w:p>
    <w:p>
      <w:pPr>
        <w:widowControl/>
        <w:spacing w:line="360" w:lineRule="auto"/>
        <w:ind w:firstLine="42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完工资料应包含且不限于：系统概要设计、系统详细设计、模型开发报告、模型审查报告、上线试运行报告、系统测试方案与用例、系统安装配置和维护手册、用户手册、验收报告。</w:t>
      </w:r>
    </w:p>
    <w:p>
      <w:pPr>
        <w:pStyle w:val="4"/>
        <w:rPr>
          <w:rFonts w:hint="eastAsia" w:ascii="Times New Roman" w:hAnsi="Times New Roman" w:eastAsia="宋体" w:cs="宋体"/>
        </w:rPr>
      </w:pPr>
      <w:r>
        <w:rPr>
          <w:rFonts w:hint="eastAsia" w:ascii="Times New Roman" w:hAnsi="Times New Roman" w:eastAsia="宋体" w:cs="宋体"/>
        </w:rPr>
        <w:t>八、质量保证</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1.质保要求</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（1）质保期至机械完工后1年，质保期结束后30日内，招标人应向投标人签发最终接受证明。</w:t>
      </w:r>
    </w:p>
    <w:p>
      <w:pPr>
        <w:widowControl/>
        <w:spacing w:line="360" w:lineRule="auto"/>
        <w:ind w:firstLine="480" w:firstLineChars="200"/>
        <w:rPr>
          <w:rFonts w:hint="eastAsia" w:ascii="Times New Roman" w:hAnsi="Times New Roman" w:eastAsia="宋体" w:cs="宋体"/>
          <w:sz w:val="24"/>
          <w:szCs w:val="24"/>
          <w:lang w:eastAsia="zh-CN"/>
        </w:rPr>
      </w:pPr>
      <w:bookmarkStart w:id="25" w:name="_Toc55554495"/>
      <w:r>
        <w:rPr>
          <w:rFonts w:hint="eastAsia" w:ascii="Times New Roman" w:hAnsi="Times New Roman" w:eastAsia="宋体" w:cs="宋体"/>
          <w:sz w:val="24"/>
          <w:szCs w:val="24"/>
          <w:lang w:eastAsia="zh-CN"/>
        </w:rPr>
        <w:t>（2）对于投标人质保期内的任何整改工作，应编制整改设计方案报招标人批准</w:t>
      </w:r>
      <w:bookmarkEnd w:id="25"/>
      <w:r>
        <w:rPr>
          <w:rFonts w:hint="eastAsia" w:ascii="Times New Roman" w:hAnsi="Times New Roman" w:eastAsia="宋体" w:cs="宋体"/>
          <w:sz w:val="24"/>
          <w:szCs w:val="24"/>
          <w:lang w:eastAsia="zh-CN"/>
        </w:rPr>
        <w:t>。</w:t>
      </w:r>
    </w:p>
    <w:p>
      <w:pPr>
        <w:pStyle w:val="17"/>
        <w:spacing w:line="360" w:lineRule="auto"/>
        <w:ind w:firstLine="480" w:firstLineChars="200"/>
        <w:rPr>
          <w:rFonts w:hint="eastAsia" w:ascii="Times New Roman" w:hAnsi="Times New Roman"/>
        </w:rPr>
      </w:pPr>
      <w:r>
        <w:rPr>
          <w:rFonts w:hint="eastAsia" w:ascii="Times New Roman" w:hAnsi="Times New Roman"/>
          <w:color w:val="auto"/>
        </w:rPr>
        <w:t>（</w:t>
      </w:r>
      <w:r>
        <w:rPr>
          <w:rFonts w:hint="eastAsia" w:ascii="Times New Roman" w:hAnsi="Times New Roman"/>
        </w:rPr>
        <w:t>3</w:t>
      </w:r>
      <w:r>
        <w:rPr>
          <w:rFonts w:hint="eastAsia" w:ascii="Times New Roman" w:hAnsi="Times New Roman"/>
          <w:color w:val="auto"/>
        </w:rPr>
        <w:t>）</w:t>
      </w:r>
      <w:r>
        <w:rPr>
          <w:rFonts w:hint="eastAsia" w:ascii="Times New Roman" w:hAnsi="Times New Roman"/>
        </w:rPr>
        <w:t>质保期结束后，双方将签署质保期满证书以证明供货商在质保期内完全履行</w:t>
      </w:r>
      <w:r>
        <w:rPr>
          <w:rFonts w:ascii="Times New Roman" w:hAnsi="Times New Roman"/>
        </w:rPr>
        <w:t>了其职责</w:t>
      </w:r>
      <w:r>
        <w:rPr>
          <w:rFonts w:hint="eastAsia" w:ascii="Times New Roman" w:hAnsi="Times New Roman"/>
        </w:rPr>
        <w:t>。</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2.质保期内投标人具体责任</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投标人承诺，其任何工作和交付的系统开发成果符合本技术要求、基础资料、法律法规、行业规范、标准和合理审慎投标人标准的要求，不存在任何缺陷。</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3.质保期内出现问题处理方案</w:t>
      </w:r>
    </w:p>
    <w:p>
      <w:pPr>
        <w:pStyle w:val="17"/>
        <w:spacing w:line="360" w:lineRule="auto"/>
        <w:ind w:firstLine="480" w:firstLineChars="200"/>
        <w:rPr>
          <w:rFonts w:hint="eastAsia" w:ascii="Times New Roman" w:hAnsi="Times New Roman"/>
          <w:color w:val="auto"/>
        </w:rPr>
      </w:pPr>
      <w:r>
        <w:rPr>
          <w:rFonts w:hint="eastAsia" w:ascii="Times New Roman" w:hAnsi="Times New Roman"/>
          <w:color w:val="auto"/>
        </w:rPr>
        <w:t>（1）质保期内，如因执行的工作或工作成果存在任何缺陷或违反质保承诺，投标人应承担质保责任，应采取修复措施或重新实施相关工作，直至消除该缺陷。</w:t>
      </w:r>
    </w:p>
    <w:p>
      <w:pPr>
        <w:pStyle w:val="17"/>
        <w:spacing w:line="360" w:lineRule="auto"/>
        <w:ind w:firstLine="480" w:firstLineChars="200"/>
        <w:rPr>
          <w:rFonts w:hint="eastAsia" w:ascii="Times New Roman" w:hAnsi="Times New Roman"/>
        </w:rPr>
      </w:pPr>
      <w:r>
        <w:rPr>
          <w:rFonts w:hint="eastAsia" w:ascii="Times New Roman" w:hAnsi="Times New Roman"/>
          <w:color w:val="auto"/>
        </w:rPr>
        <w:t>（</w:t>
      </w:r>
      <w:r>
        <w:rPr>
          <w:rFonts w:hint="eastAsia" w:ascii="Times New Roman" w:hAnsi="Times New Roman"/>
        </w:rPr>
        <w:t>2</w:t>
      </w:r>
      <w:r>
        <w:rPr>
          <w:rFonts w:hint="eastAsia" w:ascii="Times New Roman" w:hAnsi="Times New Roman"/>
          <w:color w:val="auto"/>
        </w:rPr>
        <w:t>）</w:t>
      </w:r>
      <w:r>
        <w:rPr>
          <w:rFonts w:hint="eastAsia" w:ascii="Times New Roman" w:hAnsi="Times New Roman"/>
        </w:rPr>
        <w:t>在质保期内，如因产品有问题造成停机或无法投用，质保期期限将相应延长，延长计算方法为：由于供货商原因引起的停机或无法投用，每次凡是超过一天的，质保期便按照停机或无法投用的时间作相应的延长。</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4.违约责任要求</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因投标人违约而解除合同时，如投标人支付的违约金无法补偿招标人因此遭受的全部损失，投标人应向招标人另行支付赔偿金。</w:t>
      </w:r>
    </w:p>
    <w:p>
      <w:pPr>
        <w:pStyle w:val="4"/>
        <w:rPr>
          <w:rFonts w:hint="eastAsia" w:ascii="Times New Roman" w:hAnsi="Times New Roman" w:eastAsia="宋体" w:cs="宋体"/>
        </w:rPr>
      </w:pPr>
      <w:r>
        <w:rPr>
          <w:rFonts w:hint="eastAsia" w:ascii="Times New Roman" w:hAnsi="Times New Roman" w:eastAsia="宋体" w:cs="宋体"/>
        </w:rPr>
        <w:t>九、其他要求</w:t>
      </w:r>
    </w:p>
    <w:bookmarkEnd w:id="23"/>
    <w:bookmarkEnd w:id="24"/>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1</w:t>
      </w:r>
      <w:r>
        <w:rPr>
          <w:rFonts w:hint="eastAsia" w:ascii="Times New Roman" w:hAnsi="Times New Roman" w:eastAsia="宋体" w:cs="宋体"/>
          <w:sz w:val="24"/>
          <w:szCs w:val="24"/>
          <w:lang w:eastAsia="zh-CN"/>
        </w:rPr>
        <w:t>.付款方式：银行电汇</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val="en-US" w:eastAsia="zh-CN"/>
        </w:rPr>
        <w:t>2</w:t>
      </w:r>
      <w:r>
        <w:rPr>
          <w:rFonts w:hint="eastAsia" w:ascii="Times New Roman" w:hAnsi="Times New Roman" w:eastAsia="宋体" w:cs="宋体"/>
          <w:sz w:val="24"/>
          <w:szCs w:val="24"/>
          <w:lang w:eastAsia="zh-CN"/>
        </w:rPr>
        <w:t>.付款计划：</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（1）完成机理模型建立</w:t>
      </w:r>
      <w:r>
        <w:rPr>
          <w:rFonts w:hint="eastAsia" w:ascii="Times New Roman" w:hAnsi="Times New Roman" w:eastAsia="宋体" w:cs="宋体"/>
          <w:sz w:val="24"/>
          <w:szCs w:val="24"/>
          <w:lang w:val="en-US" w:eastAsia="zh-CN"/>
        </w:rPr>
        <w:t>和离线调优功能</w:t>
      </w:r>
      <w:r>
        <w:rPr>
          <w:rFonts w:hint="eastAsia" w:ascii="Times New Roman" w:hAnsi="Times New Roman" w:eastAsia="宋体" w:cs="宋体"/>
          <w:sz w:val="24"/>
          <w:szCs w:val="24"/>
          <w:lang w:eastAsia="zh-CN"/>
        </w:rPr>
        <w:t>，双方签署验收报告后，投标人向招标人开具合格的增值税发票后，45日内招标人向投标人支付合同总费用的20%。</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（2）完成现场部署和联调上线工作，经招标人验收合格，双方签署验收报告后，投标人向招标人开具合格的增值税发票后，45日内招标人向投标人支付总费用的50%。</w:t>
      </w:r>
    </w:p>
    <w:p>
      <w:pPr>
        <w:widowControl/>
        <w:spacing w:line="360" w:lineRule="auto"/>
        <w:ind w:firstLine="480" w:firstLineChars="200"/>
        <w:rPr>
          <w:rFonts w:hint="eastAsia" w:ascii="Times New Roman" w:hAnsi="Times New Roman" w:eastAsia="宋体" w:cs="宋体"/>
          <w:sz w:val="24"/>
          <w:szCs w:val="24"/>
          <w:lang w:eastAsia="zh-CN"/>
        </w:rPr>
      </w:pPr>
      <w:r>
        <w:rPr>
          <w:rFonts w:hint="eastAsia" w:ascii="Times New Roman" w:hAnsi="Times New Roman" w:eastAsia="宋体" w:cs="宋体"/>
          <w:sz w:val="24"/>
          <w:szCs w:val="24"/>
          <w:lang w:eastAsia="zh-CN"/>
        </w:rPr>
        <w:t>（3）系统稳定运行3个月，并向招标人上交完工资料后，招标人最终验收合格，双方签署验收报告后，投标人向招标人开具合格的增值税发票后，45日内招标人向投标人支付总费用的30%。</w:t>
      </w:r>
    </w:p>
    <w:p>
      <w:pPr>
        <w:widowControl/>
        <w:spacing w:line="360" w:lineRule="auto"/>
        <w:ind w:firstLine="480" w:firstLineChars="200"/>
        <w:rPr>
          <w:rFonts w:hint="eastAsia" w:ascii="Times New Roman" w:hAnsi="Times New Roman" w:eastAsia="宋体" w:cs="宋体"/>
          <w:sz w:val="24"/>
          <w:szCs w:val="24"/>
          <w:lang w:eastAsia="zh-CN"/>
        </w:rPr>
      </w:pPr>
      <w:bookmarkStart w:id="26" w:name="_GoBack"/>
      <w:bookmarkEnd w:id="26"/>
    </w:p>
    <w:sectPr>
      <w:pgSz w:w="11906" w:h="16838"/>
      <w:pgMar w:top="1440" w:right="1441"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宋体">
    <w:panose1 w:val="02010600030101010101"/>
    <w:charset w:val="86"/>
    <w:family w:val="auto"/>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mc:AlternateContent>
        <mc:Choice Requires="wps">
          <w:drawing>
            <wp:anchor distT="0" distB="0" distL="114300" distR="114300" simplePos="0" relativeHeight="251659264" behindDoc="0" locked="0" layoutInCell="1" allowOverlap="1">
              <wp:simplePos x="0" y="0"/>
              <wp:positionH relativeFrom="margin">
                <wp:posOffset>5292090</wp:posOffset>
              </wp:positionH>
              <wp:positionV relativeFrom="paragraph">
                <wp:posOffset>6350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16.7pt;margin-top:0.5pt;height:144pt;width:144pt;mso-position-horizontal-relative:margin;mso-wrap-style:none;z-index:251659264;mso-width-relative:page;mso-height-relative:page;" filled="f" stroked="f" coordsize="21600,21600" o:gfxdata="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aS3eHWAAAACgEAAA8AAAAAAAAAAQAgAAAAIgAAAGRycy9kb3ducmV2LnhtbFBLAQIUABQA&#10;AAAIAIdO4kAFYYw/KwIAAFUEAAAOAAAAAAAAAAEAIAAAACU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第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B0C9AC"/>
    <w:multiLevelType w:val="multilevel"/>
    <w:tmpl w:val="67B0C9AC"/>
    <w:lvl w:ilvl="0" w:tentative="0">
      <w:start w:val="1"/>
      <w:numFmt w:val="bullet"/>
      <w:lvlText w:val=""/>
      <w:lvlJc w:val="left"/>
      <w:pPr>
        <w:ind w:left="649" w:hanging="420"/>
      </w:pPr>
      <w:rPr>
        <w:rFonts w:hint="default" w:ascii="Wingdings" w:hAnsi="Wingdings"/>
      </w:rPr>
    </w:lvl>
    <w:lvl w:ilvl="1" w:tentative="0">
      <w:start w:val="1"/>
      <w:numFmt w:val="bullet"/>
      <w:lvlText w:val=""/>
      <w:lvlJc w:val="left"/>
      <w:pPr>
        <w:tabs>
          <w:tab w:val="left" w:pos="840"/>
        </w:tabs>
        <w:ind w:left="1069" w:hanging="420"/>
      </w:pPr>
      <w:rPr>
        <w:rFonts w:hint="default" w:ascii="Wingdings" w:hAnsi="Wingdings"/>
      </w:rPr>
    </w:lvl>
    <w:lvl w:ilvl="2" w:tentative="0">
      <w:start w:val="1"/>
      <w:numFmt w:val="bullet"/>
      <w:lvlText w:val=""/>
      <w:lvlJc w:val="left"/>
      <w:pPr>
        <w:tabs>
          <w:tab w:val="left" w:pos="1260"/>
        </w:tabs>
        <w:ind w:left="1489" w:hanging="420"/>
      </w:pPr>
      <w:rPr>
        <w:rFonts w:hint="default" w:ascii="Wingdings" w:hAnsi="Wingdings"/>
      </w:rPr>
    </w:lvl>
    <w:lvl w:ilvl="3" w:tentative="0">
      <w:start w:val="1"/>
      <w:numFmt w:val="bullet"/>
      <w:lvlText w:val=""/>
      <w:lvlJc w:val="left"/>
      <w:pPr>
        <w:tabs>
          <w:tab w:val="left" w:pos="1680"/>
        </w:tabs>
        <w:ind w:left="1909" w:hanging="420"/>
      </w:pPr>
      <w:rPr>
        <w:rFonts w:hint="default" w:ascii="Wingdings" w:hAnsi="Wingdings"/>
      </w:rPr>
    </w:lvl>
    <w:lvl w:ilvl="4" w:tentative="0">
      <w:start w:val="1"/>
      <w:numFmt w:val="bullet"/>
      <w:lvlText w:val=""/>
      <w:lvlJc w:val="left"/>
      <w:pPr>
        <w:tabs>
          <w:tab w:val="left" w:pos="2100"/>
        </w:tabs>
        <w:ind w:left="2329" w:hanging="420"/>
      </w:pPr>
      <w:rPr>
        <w:rFonts w:hint="default" w:ascii="Wingdings" w:hAnsi="Wingdings"/>
      </w:rPr>
    </w:lvl>
    <w:lvl w:ilvl="5" w:tentative="0">
      <w:start w:val="1"/>
      <w:numFmt w:val="bullet"/>
      <w:lvlText w:val=""/>
      <w:lvlJc w:val="left"/>
      <w:pPr>
        <w:tabs>
          <w:tab w:val="left" w:pos="2520"/>
        </w:tabs>
        <w:ind w:left="2749" w:hanging="420"/>
      </w:pPr>
      <w:rPr>
        <w:rFonts w:hint="default" w:ascii="Wingdings" w:hAnsi="Wingdings"/>
      </w:rPr>
    </w:lvl>
    <w:lvl w:ilvl="6" w:tentative="0">
      <w:start w:val="1"/>
      <w:numFmt w:val="bullet"/>
      <w:lvlText w:val=""/>
      <w:lvlJc w:val="left"/>
      <w:pPr>
        <w:tabs>
          <w:tab w:val="left" w:pos="2940"/>
        </w:tabs>
        <w:ind w:left="3169" w:hanging="420"/>
      </w:pPr>
      <w:rPr>
        <w:rFonts w:hint="default" w:ascii="Wingdings" w:hAnsi="Wingdings"/>
      </w:rPr>
    </w:lvl>
    <w:lvl w:ilvl="7" w:tentative="0">
      <w:start w:val="1"/>
      <w:numFmt w:val="bullet"/>
      <w:lvlText w:val=""/>
      <w:lvlJc w:val="left"/>
      <w:pPr>
        <w:tabs>
          <w:tab w:val="left" w:pos="3360"/>
        </w:tabs>
        <w:ind w:left="3589" w:hanging="420"/>
      </w:pPr>
      <w:rPr>
        <w:rFonts w:hint="default" w:ascii="Wingdings" w:hAnsi="Wingdings"/>
      </w:rPr>
    </w:lvl>
    <w:lvl w:ilvl="8" w:tentative="0">
      <w:start w:val="1"/>
      <w:numFmt w:val="bullet"/>
      <w:lvlText w:val=""/>
      <w:lvlJc w:val="left"/>
      <w:pPr>
        <w:tabs>
          <w:tab w:val="left" w:pos="3780"/>
        </w:tabs>
        <w:ind w:left="4009"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80C"/>
    <w:rsid w:val="00085885"/>
    <w:rsid w:val="00085BD5"/>
    <w:rsid w:val="0019280C"/>
    <w:rsid w:val="002A6C8D"/>
    <w:rsid w:val="00310903"/>
    <w:rsid w:val="00310DE1"/>
    <w:rsid w:val="00353FB8"/>
    <w:rsid w:val="003F473C"/>
    <w:rsid w:val="003F599B"/>
    <w:rsid w:val="00411332"/>
    <w:rsid w:val="00411FB6"/>
    <w:rsid w:val="00486F46"/>
    <w:rsid w:val="00573171"/>
    <w:rsid w:val="00594BB6"/>
    <w:rsid w:val="006766CC"/>
    <w:rsid w:val="006A2E51"/>
    <w:rsid w:val="006B1CE1"/>
    <w:rsid w:val="006B34B6"/>
    <w:rsid w:val="007B35BF"/>
    <w:rsid w:val="007C6377"/>
    <w:rsid w:val="0086403B"/>
    <w:rsid w:val="008A5B5C"/>
    <w:rsid w:val="00A50FA5"/>
    <w:rsid w:val="00A528E6"/>
    <w:rsid w:val="00A54692"/>
    <w:rsid w:val="00AD66E0"/>
    <w:rsid w:val="00B060B3"/>
    <w:rsid w:val="00B66877"/>
    <w:rsid w:val="00BB79AC"/>
    <w:rsid w:val="00C24F01"/>
    <w:rsid w:val="00CB3AA0"/>
    <w:rsid w:val="00CC5D99"/>
    <w:rsid w:val="00D170A2"/>
    <w:rsid w:val="00DC1871"/>
    <w:rsid w:val="00DD0E49"/>
    <w:rsid w:val="00DD6E98"/>
    <w:rsid w:val="00F40CF9"/>
    <w:rsid w:val="00F5525C"/>
    <w:rsid w:val="00FC71E5"/>
    <w:rsid w:val="00FD39FA"/>
    <w:rsid w:val="013A7DC6"/>
    <w:rsid w:val="01B97057"/>
    <w:rsid w:val="02A03D60"/>
    <w:rsid w:val="0401747B"/>
    <w:rsid w:val="053C71D9"/>
    <w:rsid w:val="05F2674B"/>
    <w:rsid w:val="06696793"/>
    <w:rsid w:val="07BD7A03"/>
    <w:rsid w:val="086301EF"/>
    <w:rsid w:val="0A754817"/>
    <w:rsid w:val="0D7C70A8"/>
    <w:rsid w:val="0F085F08"/>
    <w:rsid w:val="11C34339"/>
    <w:rsid w:val="11DB2C2B"/>
    <w:rsid w:val="12317569"/>
    <w:rsid w:val="126B0E01"/>
    <w:rsid w:val="159B0B0E"/>
    <w:rsid w:val="163A56AE"/>
    <w:rsid w:val="16915C51"/>
    <w:rsid w:val="17E5316D"/>
    <w:rsid w:val="181B5A6F"/>
    <w:rsid w:val="1A497AB1"/>
    <w:rsid w:val="1ADB0A40"/>
    <w:rsid w:val="1D4E1295"/>
    <w:rsid w:val="20AB78A8"/>
    <w:rsid w:val="2103535F"/>
    <w:rsid w:val="23F40254"/>
    <w:rsid w:val="25824598"/>
    <w:rsid w:val="25CC4C56"/>
    <w:rsid w:val="266B08C0"/>
    <w:rsid w:val="27221F7E"/>
    <w:rsid w:val="281A3CCA"/>
    <w:rsid w:val="28D35363"/>
    <w:rsid w:val="2A691522"/>
    <w:rsid w:val="2AD87627"/>
    <w:rsid w:val="2AFB084E"/>
    <w:rsid w:val="2D2423C1"/>
    <w:rsid w:val="2DE64CDC"/>
    <w:rsid w:val="2F3E6830"/>
    <w:rsid w:val="2FBC5FE2"/>
    <w:rsid w:val="305B5DCD"/>
    <w:rsid w:val="30C96FC7"/>
    <w:rsid w:val="319F6FF6"/>
    <w:rsid w:val="31D22CC8"/>
    <w:rsid w:val="3369025D"/>
    <w:rsid w:val="33F431C1"/>
    <w:rsid w:val="34963459"/>
    <w:rsid w:val="34AD48C9"/>
    <w:rsid w:val="352C2A4A"/>
    <w:rsid w:val="3634327D"/>
    <w:rsid w:val="36881883"/>
    <w:rsid w:val="37E20557"/>
    <w:rsid w:val="3812291F"/>
    <w:rsid w:val="390E378D"/>
    <w:rsid w:val="3AE82663"/>
    <w:rsid w:val="3C320116"/>
    <w:rsid w:val="3C8D4DFD"/>
    <w:rsid w:val="3DE7349F"/>
    <w:rsid w:val="404C150B"/>
    <w:rsid w:val="428B6462"/>
    <w:rsid w:val="44EA211C"/>
    <w:rsid w:val="44ED5E27"/>
    <w:rsid w:val="46084AF2"/>
    <w:rsid w:val="469D400E"/>
    <w:rsid w:val="47447341"/>
    <w:rsid w:val="47993F84"/>
    <w:rsid w:val="47BE07E3"/>
    <w:rsid w:val="48603D4D"/>
    <w:rsid w:val="491017DF"/>
    <w:rsid w:val="499D22DF"/>
    <w:rsid w:val="49C603E8"/>
    <w:rsid w:val="4ABE2638"/>
    <w:rsid w:val="4AE87EF3"/>
    <w:rsid w:val="4B477F0D"/>
    <w:rsid w:val="4BED6067"/>
    <w:rsid w:val="4D2D2AD7"/>
    <w:rsid w:val="4DB047CB"/>
    <w:rsid w:val="4F861A4F"/>
    <w:rsid w:val="503B526F"/>
    <w:rsid w:val="5054095A"/>
    <w:rsid w:val="524A3D2C"/>
    <w:rsid w:val="525D2F2D"/>
    <w:rsid w:val="54157BC1"/>
    <w:rsid w:val="54BC0AA7"/>
    <w:rsid w:val="55F66FD8"/>
    <w:rsid w:val="56B365F2"/>
    <w:rsid w:val="58AD540F"/>
    <w:rsid w:val="58BE43F3"/>
    <w:rsid w:val="5A6C5056"/>
    <w:rsid w:val="5A8E00CB"/>
    <w:rsid w:val="5BA523D3"/>
    <w:rsid w:val="5E8B1074"/>
    <w:rsid w:val="5F2E45E7"/>
    <w:rsid w:val="601A7636"/>
    <w:rsid w:val="611E4CE6"/>
    <w:rsid w:val="62DC1168"/>
    <w:rsid w:val="653D43EF"/>
    <w:rsid w:val="661A59BD"/>
    <w:rsid w:val="66823D2A"/>
    <w:rsid w:val="66A9277E"/>
    <w:rsid w:val="6804313A"/>
    <w:rsid w:val="687A7176"/>
    <w:rsid w:val="6A4F317F"/>
    <w:rsid w:val="6AC60F39"/>
    <w:rsid w:val="6AE75BF1"/>
    <w:rsid w:val="6BB95104"/>
    <w:rsid w:val="6ECD6CEC"/>
    <w:rsid w:val="6F963723"/>
    <w:rsid w:val="70416737"/>
    <w:rsid w:val="712E5303"/>
    <w:rsid w:val="71646A63"/>
    <w:rsid w:val="722D7268"/>
    <w:rsid w:val="727B0E85"/>
    <w:rsid w:val="74514626"/>
    <w:rsid w:val="749B1CAB"/>
    <w:rsid w:val="763D100B"/>
    <w:rsid w:val="769D6AA6"/>
    <w:rsid w:val="77C71A4D"/>
    <w:rsid w:val="7C947920"/>
    <w:rsid w:val="7D0067A0"/>
    <w:rsid w:val="7D5E2D6C"/>
    <w:rsid w:val="7E1E0B6A"/>
    <w:rsid w:val="7F7F4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4">
    <w:name w:val="heading 2"/>
    <w:basedOn w:val="1"/>
    <w:next w:val="1"/>
    <w:qFormat/>
    <w:uiPriority w:val="1"/>
    <w:pPr>
      <w:spacing w:line="360" w:lineRule="auto"/>
      <w:outlineLvl w:val="1"/>
    </w:pPr>
    <w:rPr>
      <w:rFonts w:ascii="Microsoft YaHei UI" w:hAnsi="Microsoft YaHei UI" w:eastAsia="Microsoft YaHei UI"/>
      <w:spacing w:val="2"/>
      <w:sz w:val="32"/>
      <w:szCs w:val="32"/>
      <w:lang w:eastAsia="zh-CN"/>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widowControl/>
      <w:spacing w:after="120"/>
      <w:ind w:firstLine="420" w:firstLineChars="100"/>
    </w:pPr>
    <w:rPr>
      <w:rFonts w:ascii="Arial" w:hAnsi="Arial"/>
    </w:rPr>
  </w:style>
  <w:style w:type="paragraph" w:styleId="3">
    <w:name w:val="Body Text"/>
    <w:basedOn w:val="1"/>
    <w:next w:val="1"/>
    <w:qFormat/>
    <w:uiPriority w:val="1"/>
    <w:pPr>
      <w:ind w:firstLine="200" w:firstLineChars="200"/>
      <w:jc w:val="both"/>
    </w:pPr>
    <w:rPr>
      <w:rFonts w:ascii="Microsoft YaHei UI" w:hAnsi="Microsoft YaHei UI" w:eastAsia="Microsoft YaHei UI"/>
      <w:sz w:val="21"/>
      <w:szCs w:val="21"/>
    </w:rPr>
  </w:style>
  <w:style w:type="paragraph" w:styleId="5">
    <w:name w:val="annotation text"/>
    <w:basedOn w:val="1"/>
    <w:qFormat/>
    <w:uiPriority w:val="0"/>
  </w:style>
  <w:style w:type="paragraph" w:styleId="6">
    <w:name w:val="Body Text Indent"/>
    <w:basedOn w:val="1"/>
    <w:qFormat/>
    <w:uiPriority w:val="0"/>
    <w:pPr>
      <w:tabs>
        <w:tab w:val="left" w:pos="1040"/>
      </w:tabs>
    </w:pPr>
  </w:style>
  <w:style w:type="paragraph" w:styleId="7">
    <w:name w:val="toc 3"/>
    <w:basedOn w:val="1"/>
    <w:next w:val="1"/>
    <w:unhideWhenUsed/>
    <w:qFormat/>
    <w:uiPriority w:val="39"/>
    <w:pPr>
      <w:widowControl/>
      <w:spacing w:after="100" w:line="259" w:lineRule="auto"/>
      <w:ind w:left="440"/>
    </w:pPr>
    <w:rPr>
      <w:rFonts w:cs="Times New Roman"/>
      <w:lang w:eastAsia="zh-CN"/>
    </w:rPr>
  </w:style>
  <w:style w:type="paragraph" w:styleId="8">
    <w:name w:val="footer"/>
    <w:basedOn w:val="1"/>
    <w:unhideWhenUsed/>
    <w:qFormat/>
    <w:uiPriority w:val="99"/>
    <w:pPr>
      <w:tabs>
        <w:tab w:val="center" w:pos="4153"/>
        <w:tab w:val="right" w:pos="8306"/>
      </w:tabs>
      <w:snapToGrid w:val="0"/>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toc 2"/>
    <w:basedOn w:val="1"/>
    <w:next w:val="1"/>
    <w:unhideWhenUsed/>
    <w:qFormat/>
    <w:uiPriority w:val="39"/>
    <w:pPr>
      <w:ind w:left="420" w:leftChars="200"/>
    </w:pPr>
  </w:style>
  <w:style w:type="paragraph" w:styleId="11">
    <w:name w:val="Title"/>
    <w:basedOn w:val="1"/>
    <w:next w:val="1"/>
    <w:qFormat/>
    <w:uiPriority w:val="0"/>
    <w:pPr>
      <w:jc w:val="center"/>
    </w:pPr>
    <w:rPr>
      <w:b/>
      <w:bCs/>
      <w:szCs w:val="24"/>
    </w:rPr>
  </w:style>
  <w:style w:type="character" w:styleId="14">
    <w:name w:val="Strong"/>
    <w:basedOn w:val="13"/>
    <w:qFormat/>
    <w:uiPriority w:val="0"/>
    <w:rPr>
      <w:b/>
    </w:rPr>
  </w:style>
  <w:style w:type="character" w:styleId="15">
    <w:name w:val="Hyperlink"/>
    <w:basedOn w:val="13"/>
    <w:semiHidden/>
    <w:unhideWhenUsed/>
    <w:qFormat/>
    <w:uiPriority w:val="99"/>
    <w:rPr>
      <w:color w:val="0000FF"/>
      <w:u w:val="single"/>
    </w:rPr>
  </w:style>
  <w:style w:type="character" w:styleId="16">
    <w:name w:val="annotation reference"/>
    <w:basedOn w:val="13"/>
    <w:qFormat/>
    <w:uiPriority w:val="0"/>
    <w:rPr>
      <w:sz w:val="21"/>
      <w:szCs w:val="21"/>
    </w:rPr>
  </w:style>
  <w:style w:type="paragraph" w:customStyle="1" w:styleId="17">
    <w:name w:val="Default"/>
    <w:next w:val="18"/>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19">
    <w:name w:val="Normal_0"/>
    <w:qFormat/>
    <w:uiPriority w:val="0"/>
    <w:pPr>
      <w:widowControl w:val="0"/>
      <w:jc w:val="both"/>
    </w:pPr>
    <w:rPr>
      <w:rFonts w:ascii="Times New Roman" w:hAnsi="Times New Roman" w:eastAsia="宋体" w:cs="@宋体"/>
      <w:kern w:val="2"/>
      <w:sz w:val="21"/>
      <w:szCs w:val="22"/>
      <w:lang w:val="en-US" w:eastAsia="zh-CN" w:bidi="ar-SA"/>
    </w:rPr>
  </w:style>
  <w:style w:type="paragraph" w:styleId="20">
    <w:name w:val="List Paragraph"/>
    <w:basedOn w:val="1"/>
    <w:qFormat/>
    <w:uiPriority w:val="34"/>
    <w:pPr>
      <w:ind w:firstLine="420" w:firstLineChars="200"/>
    </w:pPr>
  </w:style>
  <w:style w:type="paragraph" w:customStyle="1" w:styleId="21">
    <w:name w:val="@正文-锦州"/>
    <w:basedOn w:val="1"/>
    <w:qFormat/>
    <w:uiPriority w:val="0"/>
    <w:pPr>
      <w:widowControl/>
      <w:tabs>
        <w:tab w:val="left" w:pos="1040"/>
      </w:tabs>
      <w:spacing w:line="360" w:lineRule="auto"/>
      <w:ind w:firstLine="200" w:firstLineChars="200"/>
      <w:jc w:val="both"/>
    </w:pPr>
    <w:rPr>
      <w:rFonts w:ascii="Times New Roman" w:hAnsi="Times New Roman" w:eastAsia="楷体_GB2312"/>
      <w:bCs/>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6063</Words>
  <Characters>7762</Characters>
  <Lines>388</Lines>
  <Paragraphs>406</Paragraphs>
  <TotalTime>3</TotalTime>
  <ScaleCrop>false</ScaleCrop>
  <LinksUpToDate>false</LinksUpToDate>
  <CharactersWithSpaces>13419</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2026-04-19T04:24:00Z</dcterms:created>
  <dc:creator>chenxsh4</dc:creator>
  <cp:lastModifiedBy>米映霖</cp:lastModifiedBy>
  <cp:lastPrinted>2026-08-03T10:04:00Z</cp:lastPrinted>
  <dcterms:modified xsi:type="dcterms:W3CDTF">2026-08-28T00:48:08Z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5F72AF4427CB4B028B8D8AE896C93C5D</vt:lpwstr>
  </property>
</Properties>
</file>